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4E79"/>
          <w:sz w:val="44"/>
          <w:szCs w:val="44"/>
        </w:rPr>
        <w:t xml:space="preserve">M7 Risk Assessment API</w:t>
      </w:r>
    </w:p>
    <w:p>
      <w:pPr>
        <w:pBdr>
          <w:bottom w:val="single" w:color="1F4E79" w:sz="12" w:space="4"/>
        </w:pBdr>
        <w:spacing w:after="40"/>
      </w:pPr>
      <w:r>
        <w:rPr>
          <w:color w:val="808080"/>
          <w:sz w:val="22"/>
          <w:szCs w:val="22"/>
        </w:rPr>
        <w:t xml:space="preserve">Integration Guide for DRM  |  OAuth2 Client-Credentials</w:t>
      </w:r>
    </w:p>
    <w:p>
      <w:pPr>
        <w:spacing w:after="60"/>
      </w:pPr>
      <w:r>
        <w:rPr>
          <w:i/>
          <w:iCs/>
          <w:color w:val="808080"/>
          <w:sz w:val="20"/>
          <w:szCs w:val="20"/>
        </w:rPr>
        <w:t xml:space="preserve">Version 1.0   •   Environment: DEV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This API allows the DRM system to create M7 Risk Assessments programmatically. Access is protected using OAuth2 (client-credentials grant). A caller first obtains a bearer access token from the authorization server, then presents that token when calling the Risk Assessment resource endpoint.</w:t>
      </w:r>
    </w:p>
    <w:p>
      <w:pPr>
        <w:spacing w:after="120"/>
      </w:pPr>
      <w:r>
        <w:rPr>
          <w:sz w:val="22"/>
          <w:szCs w:val="22"/>
        </w:rPr>
        <w:t xml:space="preserve">Integration is a two-step, machine-to-machine flow: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 — Request an access token using the client ID and client secret.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 — Call the Risk Assessment API, passing the access token in the Authorization header.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Environment and Credentials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Token URL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https://uklvadapp1170.uk.dev.net:9009/oauth2/token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Resource URL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https://uklvadapp1170.uk.dev.net:8383/api/v1/riskAssessment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 ID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M7-DRM-CLIENT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Client Secret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Shared separately (out of band)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Grant Type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client_credentials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Token Lifetime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3599 seconds (approx. 1 hour)</w:t>
            </w:r>
          </w:p>
        </w:tc>
      </w:tr>
    </w:tbl>
    <w:p>
      <w:pPr>
        <w:spacing w:after="120" w:before="120"/>
      </w:pPr>
      <w:r>
        <w:rPr>
          <w:b/>
          <w:bCs/>
          <w:color w:val="1F4E79"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The client secret is confidential and is shared through a secure, separate channel. It must not be stored in source control or logs.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Step 1 — Obtain an Access Token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Request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Method: </w:t>
      </w:r>
      <w:r>
        <w:rPr>
          <w:sz w:val="22"/>
          <w:szCs w:val="22"/>
        </w:rPr>
        <w:t xml:space="preserve">POST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https://uklvadapp1170.uk.dev.net:9009/oauth2/token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Authentication: </w:t>
      </w:r>
      <w:r>
        <w:rPr>
          <w:sz w:val="22"/>
          <w:szCs w:val="22"/>
        </w:rPr>
        <w:t xml:space="preserve">HTTP Basic — Client ID as username, Client Secret as password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Content-Type: </w:t>
      </w:r>
      <w:r>
        <w:rPr>
          <w:sz w:val="22"/>
          <w:szCs w:val="22"/>
        </w:rPr>
        <w:t xml:space="preserve">application/x-www-form-urlencoded</w:t>
      </w:r>
    </w:p>
    <w:p>
      <w:pPr>
        <w:spacing w:after="60" w:before="80"/>
      </w:pPr>
      <w:r>
        <w:rPr>
          <w:sz w:val="22"/>
          <w:szCs w:val="22"/>
        </w:rPr>
        <w:t xml:space="preserve">Form parameters: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grant_type</w:t>
            </w:r>
          </w:p>
        </w:tc>
        <w:tc>
          <w:tcPr>
            <w:tcW w:type="dxa" w:w="4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client_credentials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scope</w:t>
            </w:r>
          </w:p>
        </w:tc>
        <w:tc>
          <w:tcPr>
            <w:tcW w:type="dxa" w:w="4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</w:t>
            </w:r>
          </w:p>
        </w:tc>
        <w:tc>
          <w:tcPr>
            <w:tcW w:type="dxa" w:w="22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Sample cURL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curl -u M7-DRM-CLIENT:&lt;client_secret&gt; \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-d "grant_type=client_credentials&amp;scope=read" \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-k -i https://uklvadapp1170.uk.dev.net:9009/oauth2/token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Sample Response (200 OK)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"access_token": "eyJraWQiOiI5OTIyZTZk...&lt;truncated&gt;...F4bhoSXw",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"scope": "read",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"token_type": "Bearer",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"expires_in": 3599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100"/>
      </w:pPr>
      <w:r>
        <w:rPr>
          <w:sz w:val="22"/>
          <w:szCs w:val="22"/>
        </w:rPr>
        <w:t xml:space="preserve">Extract the access_token value from the response. It is used as the bearer token in Step 2. The token expires after roughly one hour, after which a new token must be requested.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Step 2 — Create a Risk Assessment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Request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Method: </w:t>
      </w:r>
      <w:r>
        <w:rPr>
          <w:sz w:val="22"/>
          <w:szCs w:val="22"/>
        </w:rPr>
        <w:t xml:space="preserve">POST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URL: </w:t>
      </w:r>
      <w:r>
        <w:rPr>
          <w:sz w:val="22"/>
          <w:szCs w:val="22"/>
        </w:rPr>
        <w:t xml:space="preserve">https://uklvadapp1170.uk.dev.net:8383/api/v1/riskAssessment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Content-Type: </w:t>
      </w:r>
      <w:r>
        <w:rPr>
          <w:sz w:val="22"/>
          <w:szCs w:val="22"/>
        </w:rPr>
        <w:t xml:space="preserve">application/json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Authorization: </w:t>
      </w:r>
      <w:r>
        <w:rPr>
          <w:rFonts w:ascii="Consolas" w:cs="Consolas" w:eastAsia="Consolas" w:hAnsi="Consolas"/>
          <w:sz w:val="20"/>
          <w:szCs w:val="20"/>
        </w:rPr>
        <w:t xml:space="preserve">Bearer &lt;access_token&gt;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Required Headers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6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Bearer &lt;access_token&gt;</w:t>
            </w:r>
          </w:p>
        </w:tc>
      </w:tr>
      <w:tr>
        <w:tc>
          <w:tcPr>
            <w:tcW w:type="dxa" w:w="3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0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Sample cURL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curl -k -i -X POST \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https://uklvadapp1170.uk.dev.net:8383/api/v1/riskAssessment \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-H "Authorization: Bearer &lt;access_token&gt;" \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-H "Content-Type: application/json" \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-d @payload.json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Request Payload</w:t>
      </w:r>
    </w:p>
    <w:p>
      <w:pPr>
        <w:spacing w:after="120"/>
      </w:pPr>
      <w:r>
        <w:rPr>
          <w:sz w:val="22"/>
          <w:szCs w:val="22"/>
        </w:rPr>
        <w:t xml:space="preserve">The request body is a JSON object describing the risk assessment. The top-level sections are summarised below, followed by a complete sample payload.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source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Origin of the assessment in the source system (system, IDs, URL).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assessmentHeader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Descriptive header — name, type, dates, methodology, purpose.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scope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Organization, process, risk, controls, and plan identifiers.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Assessors, reviewers, approvers, and final reviewer.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ratings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Inherent rating, control effectiveness, and residual rating.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treatment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 treatment, owner, mitigation percentage, recommendations.</w:t>
            </w:r>
          </w:p>
        </w:tc>
      </w:tr>
      <w:t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6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Supporting files (file name and URL).</w:t>
            </w:r>
          </w:p>
        </w:tc>
      </w:tr>
      <w:tr>
        <w:tc>
          <w:tcPr>
            <w:tcW w:type="dxa" w:w="2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</w:t>
            </w:r>
          </w:p>
        </w:tc>
        <w:tc>
          <w:tcPr>
            <w:tcW w:type="dxa" w:w="6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Requested workflow status and submission options.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Sample Payload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"source":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"sourceSystem": "DRM",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"sourceAssessmentId": "DRM-RA-000123",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"sourceAlertId": "ALERT-2026-000123",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"sourceUrl": "https://example.internal/assessment/DRM-RA-000123"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"assessmentHeader":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"assessmentName": "Payments Risk Trigger Assessment",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"assessmentType": "TriggerEvent",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"assessmentDate": "2026-07-17",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"dueDate": "2026-08-15",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"riskMethodology": "ORM",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"purposeScope": "Create M7 risk assessment from approved source assessment.",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"instructions": "Review inherited ratings, controls, and residual rating."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"scope":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"organizationId": "ORG-1001",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"organizationName": "Payments Operations",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"processId": "PRC-2001",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"processName": "High Value Payments",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"riskId": "RSK-3001",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"riskName": "Payment processing failure",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"controlIds": ["CTL-4001", "CTL-4002"],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"planId": "PLAN-5001"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"participants":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"assessors": ["USER-100"],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"reviewers": ["USER-200"],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"approvers": ["USER-300"],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"finalReviewer": "USER-400"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"ratings":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"inherent":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"rating": "High",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"score": 4,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"rationale": "Inherent exposure is high due to likelihood and impact factors.",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"factors": [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{"factorId": "FINANCIAL_LOSS","factorName": "Financial Loss","value": "High","score": 4,"comments": "Potential loss exceeds configured threshold."}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"controls": [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{"controlId": "CTL-4001","designEffectiveness": "Effective","operatingEffectiveness": "Partially Effective","effectivenessRating": "Partially Effective","effectivenessScore": 3,"rationale": "Exceptions observed in operating evidence."}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"residual":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"rating": "Medium","score": 3,"rationale": "Residual exposure remains after considering control effectiveness.",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"factors": [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{"factorId": "REGULATORY","factorName": "Regulatory","value": "Medium","score": 3,"comments": "Residual regulatory impact remains."}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"treatment":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"riskTreatment": "Mitigate","treatmentOwner": "USER-500","mitigationPercent": "25","recommendations": "Improve operating evidence and exception monitoring."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"attachments": [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{"fileName": "evidence.pdf","url": "https://example.internal/docs/evidence.pdf"}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"workflow":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"requestedStatus": "Draft","autoSubmit": false,"comments": "Created through API."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Responses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Success — 201 Created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"m7AssessmentId": "M7-RA-100000123",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"instanceId": 100000123,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"status": "CREATED",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"workflowStatus": "Draft",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"validationMessages": [],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"links": 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"self": "/api/v1/riskAssessments/M7-RA-100000123"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Authentication Failure — 401 Unauthorized</w:t>
      </w:r>
    </w:p>
    <w:p>
      <w:pPr>
        <w:spacing w:after="120"/>
      </w:pPr>
      <w:r>
        <w:rPr>
          <w:sz w:val="22"/>
          <w:szCs w:val="22"/>
        </w:rPr>
        <w:t xml:space="preserve">Returned when the bearer token is missing, malformed, invalid, or expired.</w:t>
      </w:r>
    </w:p>
    <w:p>
      <w:pPr>
        <w:pBdr>
          <w:top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"status": "Failure",</w:t>
      </w:r>
    </w:p>
    <w:p>
      <w:pPr>
        <w:pBdr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"message": "Invalid token"</w:t>
      </w:r>
    </w:p>
    <w:p>
      <w:pPr>
        <w:pBdr>
          <w:bottom w:val="single" w:color="CCCCCC" w:sz="2" w:space="2"/>
          <w:left w:val="single" w:color="1F4E79" w:sz="18" w:space="6"/>
        </w:pBdr>
        <w:shd w:fill="F2F2F2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00" w:before="240"/>
      </w:pPr>
      <w:r>
        <w:rPr>
          <w:b/>
          <w:bCs/>
          <w:color w:val="1F4E79"/>
          <w:sz w:val="25"/>
          <w:szCs w:val="25"/>
        </w:rPr>
        <w:t xml:space="preserve">Status Codes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rPr>
          <w:tblHeader/>
        </w:trPr>
        <w:tc>
          <w:tcPr>
            <w:tcW w:type="dxa" w:w="1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201</w:t>
            </w:r>
          </w:p>
        </w:tc>
        <w:tc>
          <w:tcPr>
            <w:tcW w:type="dxa" w:w="7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Created — the risk assessment was accepted.</w:t>
            </w:r>
          </w:p>
        </w:tc>
      </w:tr>
      <w:tr>
        <w:tc>
          <w:tcPr>
            <w:tcW w:type="dxa" w:w="1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400</w:t>
            </w:r>
          </w:p>
        </w:tc>
        <w:tc>
          <w:tcPr>
            <w:tcW w:type="dxa" w:w="7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Bad Request — malformed or missing request body.</w:t>
            </w:r>
          </w:p>
        </w:tc>
      </w:tr>
      <w:tr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401</w:t>
            </w:r>
          </w:p>
        </w:tc>
        <w:tc>
          <w:tcPr>
            <w:tcW w:type="dxa" w:w="7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Unauthorized — missing, invalid, or expired bearer token.</w:t>
            </w:r>
          </w:p>
        </w:tc>
      </w:tr>
      <w:tr>
        <w:tc>
          <w:tcPr>
            <w:tcW w:type="dxa" w:w="16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500</w:t>
            </w:r>
          </w:p>
        </w:tc>
        <w:tc>
          <w:tcPr>
            <w:tcW w:type="dxa" w:w="7400"/>
            <w:shd w:fill="DCE6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Internal Server Error — unexpected server-side error.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Integration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Tokens are valid for approximately one hour. Request a fresh token when the previous one expires (a 401 response indicates re-authentication is required).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-k flag in the sample cURL commands skips TLS certificate verification for testing. In a real integration, the SC internal CA certificate should be trusted by the client instead. For Java clients this means adding the CA to the JVM trust store (cacerts).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client-side certificate is required. The client only needs to trust the server certificate and present a valid bearer token.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client secret must be kept confidential and supplied only through the agreed secure channel.</w:t>
      </w:r>
    </w:p>
    <w:p>
      <w:pPr>
        <w:pBdr>
          <w:top w:val="single" w:color="CCCCCC" w:sz="6" w:space="6"/>
        </w:pBdr>
        <w:spacing w:before="300"/>
      </w:pPr>
      <w:r>
        <w:rPr>
          <w:i/>
          <w:iCs/>
          <w:color w:val="808080"/>
          <w:sz w:val="18"/>
          <w:szCs w:val="18"/>
        </w:rPr>
        <w:t xml:space="preserve">Standard Chartered — Internal use only. Endpoints shown are for the DEV environment.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2026-07-31T08:33:39.384Z</dcterms:created>
  <dcterms:modified xsi:type="dcterms:W3CDTF">2026-07-31T08:33:39.403Z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