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Warmup task Day 2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KidCare</w:t>
        <w:br w:type="textWrapping"/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Access the staging environment</w:t>
        <w:br w:type="textWrapping"/>
        <w:t xml:space="preserve">You should have received environment‑specific credentials (e.g., a staging URL and test login) from the team; if not, check the internal onboarding docs or ask your manager to point you to the correct staging link and instructions for test‑parent access.</w:t>
      </w:r>
    </w:p>
    <w:p w:rsidR="00000000" w:rsidDel="00000000" w:rsidP="00000000" w:rsidRDefault="00000000" w:rsidRPr="00000000" w14:paraId="00000002">
      <w:pPr>
        <w:spacing w:after="12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User flow for a parent/guardian (typical)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The guardian receives an invite link or log‑in portal information from the education‑ or care‑giving institution.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After logging in, they can view their child’s profile, attendance, daily activities, and any notifications or forms tied to the day‑care/program.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Parents can approve updates, submit forms, and communicate with staff through the same interface, often from a mobile app or web portal.</w:t>
      </w:r>
    </w:p>
    <w:p w:rsidR="00000000" w:rsidDel="00000000" w:rsidP="00000000" w:rsidRDefault="00000000" w:rsidRPr="00000000" w14:paraId="00000006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 features &amp; value proposition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Centralized child profile with attendance, activity logs, and progress‑related updates.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Digital forms and e‑enrollment that reduce paper, speed up onboarding, and create clear audit trails.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Secure communication and permission workflows between parents and staff, improving transparency and trust.</w:t>
      </w:r>
    </w:p>
    <w:p w:rsidR="00000000" w:rsidDel="00000000" w:rsidP="00000000" w:rsidRDefault="00000000" w:rsidRPr="00000000" w14:paraId="0000000A">
      <w:pPr>
        <w:spacing w:after="120" w:before="12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Value proposition: KidCare (or similar “KidCare‑style” platforms) reduces manual paperwork, improves parent‑staff communication, and gives guardians real‑time visibility into their child’s daily experience.</w:t>
        <w:br w:type="textWrapping"/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Fennex</w:t>
      </w:r>
    </w:p>
    <w:p w:rsidR="00000000" w:rsidDel="00000000" w:rsidP="00000000" w:rsidRDefault="00000000" w:rsidRPr="00000000" w14:paraId="0000000B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Fennex is a digital safety, risk, and compliance platform built for high‑risk industries such as offshore energy, oil &amp; gas, and renewables.</w:t>
      </w:r>
    </w:p>
    <w:p w:rsidR="00000000" w:rsidDel="00000000" w:rsidP="00000000" w:rsidRDefault="00000000" w:rsidRPr="00000000" w14:paraId="0000000C">
      <w:pPr>
        <w:spacing w:after="120" w:before="24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What Fennex does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Provides real‑time safety and assurance dashboards using leading indicators, predictive analytics, and mobile‑friendly tools to capture risk at the point of work.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Connects HSE (Health, Safety, Environment), operations, and quality workflows into a single smart platform, replacing disconnected spreadsheets and legacy systems.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Uses AI‑powered insights to flag early risk signals and help teams intervene before incidents occur or escalate.</w:t>
      </w:r>
    </w:p>
    <w:p w:rsidR="00000000" w:rsidDel="00000000" w:rsidP="00000000" w:rsidRDefault="00000000" w:rsidRPr="00000000" w14:paraId="00000010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How and on what projects we work with Fennex</w:t>
        <w:br w:type="textWrapping"/>
        <w:t xml:space="preserve">Locally your team likely partners with Fennex on integration, data‑pipeline, or workflow automation projects, such as: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Connecting their safety platform with internal HR, asset, or incident‑tracking systems.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Building custom dashboards, reports, or mobile workflows that plug into Fennex’s API‑based ecosystem.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Helping clients configure Fennex’s BBSS™‑style assurance workflows (e.g., pre‑job checks, audits, non‑conformances) for specific offshore or construction sites.</w:t>
      </w:r>
    </w:p>
    <w:p w:rsidR="00000000" w:rsidDel="00000000" w:rsidP="00000000" w:rsidRDefault="00000000" w:rsidRPr="00000000" w14:paraId="00000014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Short summary: Fennex turns fragmented safety data into a live, AI‑assisted platform so operations and HSE leaders can act early and keep people safer in high‑risk environments.</w:t>
      </w:r>
    </w:p>
    <w:p w:rsidR="00000000" w:rsidDel="00000000" w:rsidP="00000000" w:rsidRDefault="00000000" w:rsidRPr="00000000" w14:paraId="00000015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Basics of SharePoint</w:t>
      </w:r>
    </w:p>
    <w:p w:rsidR="00000000" w:rsidDel="00000000" w:rsidP="00000000" w:rsidRDefault="00000000" w:rsidRPr="00000000" w14:paraId="00000017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Intro and key concepts</w:t>
        <w:br w:type="textWrapping"/>
        <w:t xml:space="preserve">SharePoint is a Microsoft platform for content management, collaboration, and workflow automation, often used alongside Teams and Office 365.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Document libraries act like shared folders where teams store, version, and co‑edit files (Word, Excel, PDFs, etc.).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Sites are team or project workspaces (modern or classic) that group libraries, lists, pages, and apps under one navigation structure.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Workflows / Power Automate let you automate approvals, notifications, and data sync (e.g., “when a document is uploaded, notify the manager and update a tracker”).</w:t>
      </w:r>
    </w:p>
    <w:p w:rsidR="00000000" w:rsidDel="00000000" w:rsidP="00000000" w:rsidRDefault="00000000" w:rsidRPr="00000000" w14:paraId="0000001B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Three enterprise‑workflow use cases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Centralized policy and SOP management – One site per department with document libraries for policies, training materials, and version‑controlled checklists.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Invoice and approval pipelines – Finance or procurement teams use a SharePoint list plus Power Automate to route invoices for review and track approvals end‑to‑end.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Project documentation hub – Engineering or consulting teams maintain per‑project sites with deliverables, meeting notes, and extracted insights from tools like KidCare or Fennex.</w:t>
      </w:r>
    </w:p>
    <w:p w:rsidR="00000000" w:rsidDel="00000000" w:rsidP="00000000" w:rsidRDefault="00000000" w:rsidRPr="00000000" w14:paraId="0000001F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120" w:lineRule="auto"/>
        <w:jc w:val="both"/>
        <w:rPr>
          <w:rFonts w:ascii="Georgia" w:cs="Georgia" w:eastAsia="Georgia" w:hAnsi="Georgia"/>
          <w:b w:val="1"/>
          <w:bCs w:val="1"/>
          <w:sz w:val="34"/>
          <w:szCs w:val="3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4"/>
          <w:szCs w:val="34"/>
          <w:rtl w:val="0"/>
        </w:rPr>
        <w:t xml:space="preserve">Live use cases</w:t>
      </w:r>
    </w:p>
    <w:p w:rsidR="00000000" w:rsidDel="00000000" w:rsidP="00000000" w:rsidRDefault="00000000" w:rsidRPr="00000000" w14:paraId="00000024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FloCard use case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Problem solved: Helps individuals and businesses track, reduce, and offset their carbon footprint via tree‑planting and sustainability projects.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Who uses it: Environmentally conscious individuals, SMEs, and corporates aiming to meet ESG or net‑zero goals.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 value: Turns vague “green” intent into measurable, trackable actions backed by transparent projects and tech‑enabled impact dashboards.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Tree Planters (within FloCard)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Problem solved: Helps plantation‑driven climate projects move from one‑off tree‑planting drives to traceable, tagged, and managed plantations (with geo‑tagging and lifecycle tracking).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Who uses it: Planters, farm managers, NGOs, CSR teams, and enterprises running large‑scale tree‑planting or reforestation projects.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 value: Turns trees into trackable “assets” so every planted tree can be tagged, monitored, and validated over time, giving verifiable impact data for ESG, carbon‑offset, or CSR reporting.</w:t>
      </w:r>
    </w:p>
    <w:p w:rsidR="00000000" w:rsidDel="00000000" w:rsidP="00000000" w:rsidRDefault="00000000" w:rsidRPr="00000000" w14:paraId="0000002C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KidCare use case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Problem solved: Streamlines day‑care / childcare management by digitizing enrollment, attendance, communications, and parent‑staff interactions.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Who uses it: Parents/guardians, nursery/day‑care staff, and administrators managing multiple children and programs.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color w:val="000000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Core value: Reduces paperwork, improves transparency, and gives parents real‑time visibility into their child’s day‑to‑day experience at the facility.</w:t>
      </w:r>
    </w:p>
    <w:p w:rsidR="00000000" w:rsidDel="00000000" w:rsidP="00000000" w:rsidRDefault="00000000" w:rsidRPr="00000000" w14:paraId="00000030">
      <w:pPr>
        <w:spacing w:after="120" w:before="120" w:lineRule="auto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color w:val="d6d5d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