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A969E9" wp14:paraId="489C90CA" wp14:textId="65DBE721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>Summary of Transformer Architecture Study</w:t>
      </w:r>
    </w:p>
    <w:p xmlns:wp14="http://schemas.microsoft.com/office/word/2010/wordml" w:rsidP="5CA969E9" wp14:paraId="3292CC49" wp14:textId="1966A25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CA969E9" wp14:paraId="001F9B09" wp14:textId="01D82A1D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5CA969E9" wp14:paraId="0BAC29CB" wp14:textId="1992FDD4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22B7A05E" wp14:textId="0B6BF01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study explores variations on the Transformer architecture, focusing on its application in English-to-German translation and English constituency parsing. Transformers, known for their efficiency and effectiveness in sequence transduction tasks,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leverage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multi-headed self-attention mechanisms to achieve superior performance over traditional recurrent and convolutional models.</w:t>
      </w:r>
    </w:p>
    <w:p xmlns:wp14="http://schemas.microsoft.com/office/word/2010/wordml" w:rsidP="5CA969E9" wp14:paraId="7DFF3AA5" wp14:textId="60C0D1D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36EE4034" wp14:textId="10537B11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Variations on the Transformer Architecture</w:t>
      </w:r>
    </w:p>
    <w:p xmlns:wp14="http://schemas.microsoft.com/office/word/2010/wordml" w:rsidP="5CA969E9" wp14:paraId="0BE9141F" wp14:textId="47186D49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2BF5F05C" wp14:textId="38EB019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Metrics and Parameters:</w:t>
      </w:r>
    </w:p>
    <w:p xmlns:wp14="http://schemas.microsoft.com/office/word/2010/wordml" w:rsidP="5CA969E9" wp14:paraId="0DC81525" wp14:textId="5587B8C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7A2A60D7" wp14:textId="3293960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 (Layers)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Number of layers in the Transformer model.</w:t>
      </w:r>
    </w:p>
    <w:p xmlns:wp14="http://schemas.microsoft.com/office/word/2010/wordml" w:rsidP="5CA969E9" wp14:paraId="48854CD2" wp14:textId="455B145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 (Model Dimension)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Dimensionality of input and output.</w:t>
      </w:r>
    </w:p>
    <w:p xmlns:wp14="http://schemas.microsoft.com/office/word/2010/wordml" w:rsidP="5CA969E9" wp14:paraId="379717F4" wp14:textId="03082E4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d_ff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(Feedforward Dimension)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Dimension of the feedforward network.</w:t>
      </w:r>
    </w:p>
    <w:p xmlns:wp14="http://schemas.microsoft.com/office/word/2010/wordml" w:rsidP="5CA969E9" wp14:paraId="1B5FC2F2" wp14:textId="27EB961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 (Heads)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Number of attention heads.</w:t>
      </w:r>
    </w:p>
    <w:p xmlns:wp14="http://schemas.microsoft.com/office/word/2010/wordml" w:rsidP="5CA969E9" wp14:paraId="1A9CA63E" wp14:textId="51FD364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d_k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d_v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(Key, Value Dimensions)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Dimensions for key and value vectors.</w:t>
      </w:r>
    </w:p>
    <w:p xmlns:wp14="http://schemas.microsoft.com/office/word/2010/wordml" w:rsidP="5CA969E9" wp14:paraId="3A2170C0" wp14:textId="6DCA98A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P_drop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(Dropout Probability)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Dropout rate.</w:t>
      </w:r>
    </w:p>
    <w:p xmlns:wp14="http://schemas.microsoft.com/office/word/2010/wordml" w:rsidP="5CA969E9" wp14:paraId="13DA358F" wp14:textId="780A2DF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ε_ls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(Label Smoothing)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Label smoothing factor.</w:t>
      </w:r>
    </w:p>
    <w:p xmlns:wp14="http://schemas.microsoft.com/office/word/2010/wordml" w:rsidP="5CA969E9" wp14:paraId="4E195D8B" wp14:textId="24C8E08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Train Steps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Number of training steps.</w:t>
      </w:r>
    </w:p>
    <w:p xmlns:wp14="http://schemas.microsoft.com/office/word/2010/wordml" w:rsidP="5CA969E9" wp14:paraId="3CD8F344" wp14:textId="548C483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PPL (Perplexity)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Per-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wordpiece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perplexity.</w:t>
      </w:r>
    </w:p>
    <w:p xmlns:wp14="http://schemas.microsoft.com/office/word/2010/wordml" w:rsidP="5CA969E9" wp14:paraId="22014585" wp14:textId="24F5D30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BLEU (Bilingual Evaluation Understudy)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Score measuring translation quality.</w:t>
      </w:r>
    </w:p>
    <w:p xmlns:wp14="http://schemas.microsoft.com/office/word/2010/wordml" w:rsidP="5CA969E9" wp14:paraId="67DC4A35" wp14:textId="0C7D4F7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Params (Parameters)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Number of parameters in the model.</w:t>
      </w:r>
    </w:p>
    <w:p xmlns:wp14="http://schemas.microsoft.com/office/word/2010/wordml" w:rsidP="5CA969E9" wp14:paraId="20DAAFFF" wp14:textId="74EDCAB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054A313D" wp14:textId="342624F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Key Variations:</w:t>
      </w:r>
    </w:p>
    <w:p xmlns:wp14="http://schemas.microsoft.com/office/word/2010/wordml" w:rsidP="5CA969E9" wp14:paraId="48A210CD" wp14:textId="1423D24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12DA8FCE" wp14:textId="71349B2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Base Model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6 layers, 512 model dimension, 2048 feedforward dimension, 8 heads, 64 key and value dimensions, 0.1 dropout, 0.1 label smoothing, 100K training steps. Perplexity: 4.92, BLEU: 25.8, Params: 65M.</w:t>
      </w:r>
    </w:p>
    <w:p xmlns:wp14="http://schemas.microsoft.com/office/word/2010/wordml" w:rsidP="5CA969E9" wp14:paraId="23749230" wp14:textId="0D14DDB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Row A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Varying number of attention heads and attention dimensions.</w:t>
      </w:r>
    </w:p>
    <w:p xmlns:wp14="http://schemas.microsoft.com/office/word/2010/wordml" w:rsidP="5CA969E9" wp14:paraId="35E31AB1" wp14:textId="2FCB7D3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Row B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Reducing attention key size, resulting in lower model quality.</w:t>
      </w:r>
    </w:p>
    <w:p xmlns:wp14="http://schemas.microsoft.com/office/word/2010/wordml" w:rsidP="5CA969E9" wp14:paraId="3C8858F2" wp14:textId="05CD0B0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Row C &amp; D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Bigger models with higher dropout to avoid overfitting.</w:t>
      </w:r>
    </w:p>
    <w:p xmlns:wp14="http://schemas.microsoft.com/office/word/2010/wordml" w:rsidP="5CA969E9" wp14:paraId="48D5E1D1" wp14:textId="332E0B4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Row E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Replacing sinusoidal positional encoding with learned positional embeddings, resulting in similar performance to the base model.</w:t>
      </w:r>
    </w:p>
    <w:p xmlns:wp14="http://schemas.microsoft.com/office/word/2010/wordml" w:rsidP="5CA969E9" wp14:paraId="6A49B93D" wp14:textId="1E5F061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6D51C524" wp14:textId="3737461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7D49B372" wp14:textId="6554065E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English Constituency Parsing</w:t>
      </w:r>
    </w:p>
    <w:p xmlns:wp14="http://schemas.microsoft.com/office/word/2010/wordml" w:rsidP="5CA969E9" wp14:paraId="66A3F180" wp14:textId="50D9A0A8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68ABCBC0" wp14:textId="771FAB0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test the generalization of Transformers, experiments were conducted on English constituency parsing using the Wall Street Journal (WSJ) dataset. The results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demonstrate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model's capability to handle tasks with strong structural constraints and longer outputs.</w:t>
      </w:r>
    </w:p>
    <w:p xmlns:wp14="http://schemas.microsoft.com/office/word/2010/wordml" w:rsidP="5CA969E9" wp14:paraId="0D16C3FC" wp14:textId="2996CE3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79648C7D" wp14:textId="7BCBE0D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Training and Results:</w:t>
      </w:r>
    </w:p>
    <w:p xmlns:wp14="http://schemas.microsoft.com/office/word/2010/wordml" w:rsidP="5CA969E9" wp14:paraId="065B6923" wp14:textId="1A6FEA8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4-layer Transformer with 1024 model dimension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CA969E9" wp14:paraId="17AB9E7D" wp14:textId="5A0C2BC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6F372B03" wp14:textId="4AA3F0E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Datasets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WSJ (40K sentences) and a larger semi-supervised corpus (17M sentences).</w:t>
      </w:r>
    </w:p>
    <w:p xmlns:wp14="http://schemas.microsoft.com/office/word/2010/wordml" w:rsidP="5CA969E9" wp14:paraId="188C140D" wp14:textId="48C3B22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Vocabulary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16K tokens for WSJ only, 32K tokens for semi-supervised setting.</w:t>
      </w:r>
    </w:p>
    <w:p xmlns:wp14="http://schemas.microsoft.com/office/word/2010/wordml" w:rsidP="5CA969E9" wp14:paraId="5C228D71" wp14:textId="255310C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Inference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Beam size of 21, α = 0.3.</w:t>
      </w:r>
    </w:p>
    <w:p xmlns:wp14="http://schemas.microsoft.com/office/word/2010/wordml" w:rsidP="5CA969E9" wp14:paraId="2106FA3C" wp14:textId="0CAFF53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Results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Outperformed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previous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models except for the Recurrent Neural Network Grammar. Achieved an F1 score of 91.3 with WSJ only and 92.7 with semi-supervised training.</w:t>
      </w:r>
    </w:p>
    <w:p xmlns:wp14="http://schemas.microsoft.com/office/word/2010/wordml" w:rsidP="5CA969E9" wp14:paraId="0493119F" wp14:textId="58CA4D4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1C2554B0" wp14:textId="1DE77333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Attention Visualizations</w:t>
      </w:r>
    </w:p>
    <w:p xmlns:wp14="http://schemas.microsoft.com/office/word/2010/wordml" w:rsidP="5CA969E9" wp14:paraId="5A9F4C86" wp14:textId="6792EE7C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308E409C" wp14:textId="6061AE5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Figure 3: Long-Distance Dependencies</w:t>
      </w:r>
    </w:p>
    <w:p xmlns:wp14="http://schemas.microsoft.com/office/word/2010/wordml" w:rsidP="5CA969E9" wp14:paraId="4179AF7C" wp14:textId="5B76751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Layer 5 of 6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Attention mechanism in the encoder self-attention layer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identifies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long-distance dependencies, completing phrases like 'making...more difficult'.</w:t>
      </w:r>
    </w:p>
    <w:p xmlns:wp14="http://schemas.microsoft.com/office/word/2010/wordml" w:rsidP="5CA969E9" wp14:paraId="13F9EC69" wp14:textId="6D8306D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Visualization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Different colors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different attention heads, focusing on the word 'making'.</w:t>
      </w:r>
    </w:p>
    <w:p xmlns:wp14="http://schemas.microsoft.com/office/word/2010/wordml" w:rsidP="5CA969E9" wp14:paraId="16C63757" wp14:textId="507E03E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Figure 4: Anaphora Resolution</w:t>
      </w:r>
    </w:p>
    <w:p xmlns:wp14="http://schemas.microsoft.com/office/word/2010/wordml" w:rsidP="5CA969E9" wp14:paraId="0C485A45" wp14:textId="4B0F38B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Layer 5 of 6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Two attention heads involved in resolving anaphora.</w:t>
      </w:r>
    </w:p>
    <w:p xmlns:wp14="http://schemas.microsoft.com/office/word/2010/wordml" w:rsidP="5CA969E9" wp14:paraId="54A7BD1E" wp14:textId="7F0BDEC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Top Visualization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Full attentions for head 5.</w:t>
      </w:r>
    </w:p>
    <w:p xmlns:wp14="http://schemas.microsoft.com/office/word/2010/wordml" w:rsidP="5CA969E9" wp14:paraId="3B802C8E" wp14:textId="642FCA2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Bottom Visualization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Isolated attentions from the word 'its' for heads 5 and 6.</w:t>
      </w:r>
    </w:p>
    <w:p xmlns:wp14="http://schemas.microsoft.com/office/word/2010/wordml" w:rsidP="5CA969E9" wp14:paraId="549957B0" wp14:textId="2D9376B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Figure 5: Sentence Structure</w:t>
      </w:r>
    </w:p>
    <w:p xmlns:wp14="http://schemas.microsoft.com/office/word/2010/wordml" w:rsidP="5CA969E9" wp14:paraId="49DFDF14" wp14:textId="146DE4D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Layer 5 of 6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Attention heads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exhibit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behavior related to sentence structure, with different heads learning to perform specific tasks.</w:t>
      </w:r>
    </w:p>
    <w:p xmlns:wp14="http://schemas.microsoft.com/office/word/2010/wordml" w:rsidP="5CA969E9" wp14:paraId="0F2C0975" wp14:textId="13B7756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1F4F056B" wp14:textId="30D99C9F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5CA969E9" wp14:paraId="6500AAF0" wp14:textId="4D8D2B94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CA969E9" wp14:paraId="6E7EDB5B" wp14:textId="07CAB45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Transformer model, entirely based on attention mechanisms,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demonstrates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significant improvements in sequence transduction tasks, particularly in machine translation and parsing tasks. The ability to train faster and achieve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state-of-the-art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results underscores the potential of attention-based models for a wide range of applications. Future work will extend these models to 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handle diverse input and output modalities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investigate more efficient attention mechanisms.</w:t>
      </w:r>
    </w:p>
    <w:p xmlns:wp14="http://schemas.microsoft.com/office/word/2010/wordml" w:rsidP="5CA969E9" wp14:paraId="3D5ADD41" wp14:textId="4BF04F3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6B65A6C3" wp14:textId="6E30F547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Visual Representation (Sample Charts)</w:t>
      </w:r>
    </w:p>
    <w:p xmlns:wp14="http://schemas.microsoft.com/office/word/2010/wordml" w:rsidP="5CA969E9" wp14:paraId="18AC8C24" wp14:textId="571E02FA">
      <w:pPr>
        <w:pStyle w:val="Normal"/>
        <w:spacing w:before="0" w:beforeAutospacing="off"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5BAF2D13" wp14:textId="7DB2674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BLEU Score Comparison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:</w:t>
      </w:r>
    </w:p>
    <w:p xmlns:wp14="http://schemas.microsoft.com/office/word/2010/wordml" w:rsidP="5CA969E9" wp14:paraId="56BCA2B1" wp14:textId="7F9629C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010"/>
        <w:gridCol w:w="2580"/>
      </w:tblGrid>
      <w:tr w:rsidR="5CA969E9" w:rsidTr="5CA969E9" w14:paraId="7564D196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21992EA1" w:rsidP="5CA969E9" w:rsidRDefault="21992EA1" w14:paraId="73382B1D" w14:textId="0D5FEC05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CA969E9" w:rsidR="21992E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Model Variat</w:t>
            </w:r>
            <w:r w:rsidRPr="5CA969E9" w:rsidR="21992E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ion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747C561C" w:rsidP="5CA969E9" w:rsidRDefault="747C561C" w14:paraId="4589FD0B" w14:textId="14EE00E9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CA969E9" w:rsidR="747C56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</w:t>
            </w:r>
            <w:r w:rsidRPr="5CA969E9" w:rsidR="250CA1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  </w:t>
            </w:r>
            <w:r w:rsidRPr="5CA969E9" w:rsidR="5CA969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BLEU Score</w:t>
            </w:r>
          </w:p>
        </w:tc>
      </w:tr>
      <w:tr w:rsidR="5CA969E9" w:rsidTr="5CA969E9" w14:paraId="45CC4D5B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2D3A3C92" w:rsidP="5CA969E9" w:rsidRDefault="2D3A3C92" w14:paraId="35CEEE4A" w14:textId="09622AC6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2D3A3C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  </w:t>
            </w: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Base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7AB06974" w14:textId="2E68C0F3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25.8</w:t>
            </w:r>
          </w:p>
        </w:tc>
      </w:tr>
      <w:tr w:rsidR="5CA969E9" w:rsidTr="5CA969E9" w14:paraId="16CC734D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52350897" w14:textId="60CB5954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362FB8EF" w14:textId="57BEEC90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24.9-25.8</w:t>
            </w:r>
          </w:p>
        </w:tc>
      </w:tr>
      <w:tr w:rsidR="5CA969E9" w:rsidTr="5CA969E9" w14:paraId="371687C8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6FC142C8" w14:textId="51043096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4653A804" w14:textId="2289153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25.5</w:t>
            </w:r>
          </w:p>
        </w:tc>
      </w:tr>
      <w:tr w:rsidR="5CA969E9" w:rsidTr="5CA969E9" w14:paraId="2A03AA18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043CE9C8" w14:textId="34848407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6157861E" w14:textId="0F69B09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25.4-26.0</w:t>
            </w:r>
          </w:p>
        </w:tc>
      </w:tr>
      <w:tr w:rsidR="5CA969E9" w:rsidTr="5CA969E9" w14:paraId="76887FD7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17B50AF7" w:rsidP="5CA969E9" w:rsidRDefault="17B50AF7" w14:paraId="13E17C60" w14:textId="16B63472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17B50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CA969E9" w:rsidR="5FE629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     </w:t>
            </w:r>
            <w:r w:rsidRPr="5CA969E9" w:rsidR="71E87E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  </w:t>
            </w: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4832CFAC" w14:textId="148E803B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25.3-26.2</w:t>
            </w:r>
          </w:p>
        </w:tc>
      </w:tr>
      <w:tr w:rsidR="5CA969E9" w:rsidTr="5CA969E9" w14:paraId="0AC7A0AD">
        <w:trPr>
          <w:trHeight w:val="300"/>
        </w:trPr>
        <w:tc>
          <w:tcPr>
            <w:tcW w:w="201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7C185E10" w14:textId="22B11E84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  <w:tc>
          <w:tcPr>
            <w:tcW w:w="25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2EF2A180" w:rsidP="5CA969E9" w:rsidRDefault="2EF2A180" w14:paraId="69826371" w14:textId="38061632">
            <w:pPr>
              <w:pStyle w:val="Normal"/>
              <w:spacing w:before="0" w:beforeAutospacing="off" w:after="0" w:afterAutospacing="off"/>
              <w:jc w:val="center"/>
            </w:pPr>
            <w:r w:rsidRPr="5CA969E9" w:rsidR="2EF2A1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24.5-25.7</w:t>
            </w:r>
          </w:p>
        </w:tc>
      </w:tr>
    </w:tbl>
    <w:p xmlns:wp14="http://schemas.microsoft.com/office/word/2010/wordml" w:rsidP="5CA969E9" wp14:paraId="03949A18" wp14:textId="60C31CD7">
      <w:pPr>
        <w:pStyle w:val="Normal"/>
        <w:spacing w:before="0" w:beforeAutospacing="off" w:after="0" w:afterAutospacing="off"/>
        <w:jc w:val="left"/>
      </w:pPr>
    </w:p>
    <w:p xmlns:wp14="http://schemas.microsoft.com/office/word/2010/wordml" w:rsidP="5CA969E9" wp14:paraId="22396C73" wp14:textId="2B15233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0B2C2A67" wp14:textId="35C84AE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CA969E9" w:rsidR="349EE8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    </w:t>
      </w:r>
      <w:r w:rsidRPr="5CA969E9" w:rsidR="349EE8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   </w:t>
      </w:r>
      <w:r w:rsidRPr="5CA969E9" w:rsidR="349EE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 2.</w:t>
      </w:r>
      <w:r w:rsidRPr="5CA969E9" w:rsidR="75283D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CA969E9" w:rsidR="411384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 </w:t>
      </w:r>
      <w:r w:rsidRPr="5CA969E9" w:rsidR="6E7661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Perplexity Comparison</w:t>
      </w: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:</w:t>
      </w:r>
    </w:p>
    <w:p xmlns:wp14="http://schemas.microsoft.com/office/word/2010/wordml" w:rsidP="5CA969E9" wp14:paraId="21B984A6" wp14:textId="5E81BF4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535"/>
        <w:gridCol w:w="2265"/>
      </w:tblGrid>
      <w:tr w:rsidR="5CA969E9" w:rsidTr="5CA969E9" w14:paraId="4D10ACA5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3F537499" w:rsidP="5CA969E9" w:rsidRDefault="3F537499" w14:paraId="3224E09B" w14:textId="746BB261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CA969E9" w:rsidR="3F5374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</w:t>
            </w:r>
            <w:r w:rsidRPr="5CA969E9" w:rsidR="5CA969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Model</w:t>
            </w:r>
            <w:r w:rsidRPr="5CA969E9" w:rsidR="296AD4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</w:t>
            </w:r>
            <w:r w:rsidRPr="5CA969E9" w:rsidR="5CA969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Variation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12CC60FB" w:rsidP="5CA969E9" w:rsidRDefault="12CC60FB" w14:paraId="7CBA2E7D" w14:textId="027A896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CA969E9" w:rsidR="12CC60F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 xml:space="preserve">       </w:t>
            </w:r>
            <w:r w:rsidRPr="5CA969E9" w:rsidR="5CA969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Perplexity</w:t>
            </w:r>
          </w:p>
        </w:tc>
      </w:tr>
      <w:tr w:rsidR="5CA969E9" w:rsidTr="5CA969E9" w14:paraId="6C2B4C9A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6784082F" w14:textId="09305F0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Base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178D4DE9" w14:textId="3EDD6D3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4.92</w:t>
            </w:r>
          </w:p>
        </w:tc>
      </w:tr>
      <w:tr w:rsidR="5CA969E9" w:rsidTr="5CA969E9" w14:paraId="411B07C0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0979DF59" w14:textId="28945F04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5FB8450C" w14:textId="7A00C6C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5.01</w:t>
            </w:r>
          </w:p>
        </w:tc>
      </w:tr>
      <w:tr w:rsidR="5CA969E9" w:rsidTr="5CA969E9" w14:paraId="1D927362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01FA7ADC" w14:textId="0B54871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3FEC7D54" w14:textId="5E780DE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5.00</w:t>
            </w:r>
          </w:p>
        </w:tc>
      </w:tr>
      <w:tr w:rsidR="5CA969E9" w:rsidTr="5CA969E9" w14:paraId="271495F7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49774697" w14:textId="2B5220B3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7516E700" w14:textId="05404017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4.66-5.12</w:t>
            </w:r>
          </w:p>
        </w:tc>
      </w:tr>
      <w:tr w:rsidR="5CA969E9" w:rsidTr="5CA969E9" w14:paraId="40665FF6">
        <w:trPr>
          <w:trHeight w:val="300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1C0E0E1F" w14:textId="6BB2749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111804ED" w14:textId="4D536E1B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4.75-5.77</w:t>
            </w:r>
          </w:p>
        </w:tc>
      </w:tr>
      <w:tr w:rsidR="5CA969E9" w:rsidTr="5CA969E9" w14:paraId="1DD549B0">
        <w:trPr>
          <w:trHeight w:val="405"/>
        </w:trPr>
        <w:tc>
          <w:tcPr>
            <w:tcW w:w="25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1323A000" w14:textId="6119F4B7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  <w:tc>
          <w:tcPr>
            <w:tcW w:w="22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6E7661B6" w:rsidP="5CA969E9" w:rsidRDefault="6E7661B6" w14:paraId="02E27CC1" w14:textId="02811868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A969E9" w:rsidR="5CA96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4.33-5.77</w:t>
            </w:r>
          </w:p>
        </w:tc>
      </w:tr>
    </w:tbl>
    <w:p xmlns:wp14="http://schemas.microsoft.com/office/word/2010/wordml" w:rsidP="5CA969E9" wp14:paraId="02E392A6" wp14:textId="03E7F73B">
      <w:pPr>
        <w:pStyle w:val="Normal"/>
        <w:spacing w:before="0" w:beforeAutospacing="off" w:after="0" w:afterAutospacing="off"/>
        <w:jc w:val="left"/>
      </w:pPr>
    </w:p>
    <w:p xmlns:wp14="http://schemas.microsoft.com/office/word/2010/wordml" w:rsidP="5CA969E9" wp14:paraId="3FA64629" wp14:textId="7CBF22B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386C8C61" wp14:textId="2650492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CA969E9" wp14:paraId="10A5F069" wp14:textId="44898B9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A969E9" w:rsidR="6E766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By summarizing the detailed study of the Transformer architecture, this document aims to provide a comprehensive understanding of the variations and their impact on model performance, illustrated with relevant visualizations and metrics.</w:t>
      </w:r>
    </w:p>
    <w:p xmlns:wp14="http://schemas.microsoft.com/office/word/2010/wordml" w:rsidP="5CA969E9" wp14:paraId="2C078E63" wp14:textId="1B24F549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3f81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5d52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eef1c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af6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acd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4db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32239"/>
    <w:rsid w:val="0022C88B"/>
    <w:rsid w:val="0022C88B"/>
    <w:rsid w:val="00D26639"/>
    <w:rsid w:val="01E0C760"/>
    <w:rsid w:val="0A62CF6A"/>
    <w:rsid w:val="0C52C0E9"/>
    <w:rsid w:val="11AC714A"/>
    <w:rsid w:val="12CC60FB"/>
    <w:rsid w:val="15056A97"/>
    <w:rsid w:val="155EB56B"/>
    <w:rsid w:val="17B50AF7"/>
    <w:rsid w:val="1F721C11"/>
    <w:rsid w:val="21992EA1"/>
    <w:rsid w:val="24DF4F73"/>
    <w:rsid w:val="250CA118"/>
    <w:rsid w:val="261EC088"/>
    <w:rsid w:val="296AD4DA"/>
    <w:rsid w:val="2B01AC64"/>
    <w:rsid w:val="2D3A3C92"/>
    <w:rsid w:val="2EF2A180"/>
    <w:rsid w:val="3389FF32"/>
    <w:rsid w:val="349EE8FC"/>
    <w:rsid w:val="34CD4879"/>
    <w:rsid w:val="3F537499"/>
    <w:rsid w:val="40308BB7"/>
    <w:rsid w:val="41138480"/>
    <w:rsid w:val="4365FE90"/>
    <w:rsid w:val="47F32239"/>
    <w:rsid w:val="4860C836"/>
    <w:rsid w:val="4C32D986"/>
    <w:rsid w:val="4F3CB422"/>
    <w:rsid w:val="5196D6D0"/>
    <w:rsid w:val="5B522F8E"/>
    <w:rsid w:val="5CA969E9"/>
    <w:rsid w:val="5FE62912"/>
    <w:rsid w:val="6ADF9726"/>
    <w:rsid w:val="6E7661B6"/>
    <w:rsid w:val="71E87EAD"/>
    <w:rsid w:val="747C561C"/>
    <w:rsid w:val="75283D8A"/>
    <w:rsid w:val="7C80C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2239"/>
  <w15:chartTrackingRefBased/>
  <w15:docId w15:val="{7DE43849-D72D-4C50-8A5C-D35DF56F7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aaa299439c43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2024-07-21T08:24:27.1190306Z</dcterms:created>
  <dcterms:modified xsi:type="dcterms:W3CDTF">2024-07-21T08:39:39.6474725Z</dcterms:modified>
  <dc:creator>aayush.bhange.batch2021</dc:creator>
  <lastModifiedBy>aayush.bhange.batch2021</lastModifiedBy>
</coreProperties>
</file>