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0E5C66"/>
          <w:sz w:val="52"/>
        </w:rPr>
        <w:t>ANPR System</w:t>
      </w:r>
    </w:p>
    <w:p>
      <w:pPr>
        <w:spacing w:after="80"/>
      </w:pPr>
      <w:r>
        <w:rPr>
          <w:color w:val="1A1A1A"/>
          <w:sz w:val="30"/>
        </w:rPr>
        <w:t>Licensing, Node-Locked Activation and Code Protection</w:t>
      </w:r>
    </w:p>
    <w:p>
      <w:pPr>
        <w:spacing w:after="280"/>
      </w:pPr>
      <w:r>
        <w:rPr>
          <w:i/>
          <w:color w:val="5A6266"/>
          <w:sz w:val="20"/>
        </w:rPr>
        <w:t>Design of record — distributor-installed, on-premises deployments</w:t>
      </w:r>
    </w:p>
    <w:tbl>
      <w:tblPr>
        <w:tblStyle w:val="TableGrid"/>
        <w:tblW w:type="auto" w:w="0"/>
        <w:jc w:val="center"/>
        <w:tblLook w:firstColumn="1" w:firstRow="1" w:lastColumn="0" w:lastRow="0" w:noHBand="0" w:noVBand="1" w:val="04A0"/>
      </w:tblPr>
      <w:tblGrid>
        <w:gridCol w:w="4752"/>
        <w:gridCol w:w="4752"/>
      </w:tblGrid>
      <w:tr>
        <w:tc>
          <w:tcPr>
            <w:tcW w:type="dxa" w:w="2304"/>
            <w:shd w:val="clear" w:fill="0E5C66"/>
          </w:tcPr>
          <w:p>
            <w:r/>
            <w:r>
              <w:rPr>
                <w:b/>
                <w:color w:val="FFFFFF"/>
                <w:sz w:val="19"/>
              </w:rPr>
              <w:t>Field</w:t>
            </w:r>
          </w:p>
        </w:tc>
        <w:tc>
          <w:tcPr>
            <w:tcW w:type="dxa" w:w="6912"/>
            <w:shd w:val="clear" w:fill="0E5C66"/>
          </w:tcPr>
          <w:p>
            <w:r/>
            <w:r>
              <w:rPr>
                <w:b/>
                <w:color w:val="FFFFFF"/>
                <w:sz w:val="19"/>
              </w:rPr>
              <w:t>Value</w:t>
            </w:r>
          </w:p>
        </w:tc>
      </w:tr>
      <w:tr>
        <w:tc>
          <w:tcPr>
            <w:tcW w:type="dxa" w:w="2304"/>
          </w:tcPr>
          <w:p>
            <w:pPr>
              <w:spacing w:after="40"/>
            </w:pPr>
            <w:r/>
            <w:r>
              <w:rPr>
                <w:sz w:val="19"/>
              </w:rPr>
              <w:t>Document</w:t>
            </w:r>
          </w:p>
        </w:tc>
        <w:tc>
          <w:tcPr>
            <w:tcW w:type="dxa" w:w="6912"/>
          </w:tcPr>
          <w:p>
            <w:pPr>
              <w:spacing w:after="40"/>
            </w:pPr>
            <w:r/>
            <w:r>
              <w:rPr>
                <w:sz w:val="19"/>
              </w:rPr>
              <w:t>Licensing &amp; code-protection architecture</w:t>
            </w:r>
          </w:p>
        </w:tc>
      </w:tr>
      <w:tr>
        <w:tc>
          <w:tcPr>
            <w:tcW w:type="dxa" w:w="2304"/>
          </w:tcPr>
          <w:p>
            <w:pPr>
              <w:spacing w:after="40"/>
            </w:pPr>
            <w:r/>
            <w:r>
              <w:rPr>
                <w:sz w:val="19"/>
              </w:rPr>
              <w:t>Applies to</w:t>
            </w:r>
          </w:p>
        </w:tc>
        <w:tc>
          <w:tcPr>
            <w:tcW w:type="dxa" w:w="6912"/>
          </w:tcPr>
          <w:p>
            <w:pPr>
              <w:spacing w:after="40"/>
            </w:pPr>
            <w:r/>
            <w:r>
              <w:rPr>
                <w:sz w:val="19"/>
              </w:rPr>
              <w:t>ANPR edge system (CPU-only, on-premises, RTSP cameras)</w:t>
            </w:r>
          </w:p>
        </w:tc>
      </w:tr>
      <w:tr>
        <w:tc>
          <w:tcPr>
            <w:tcW w:type="dxa" w:w="2304"/>
          </w:tcPr>
          <w:p>
            <w:pPr>
              <w:spacing w:after="40"/>
            </w:pPr>
            <w:r/>
            <w:r>
              <w:rPr>
                <w:sz w:val="19"/>
              </w:rPr>
              <w:t>Distribution model</w:t>
            </w:r>
          </w:p>
        </w:tc>
        <w:tc>
          <w:tcPr>
            <w:tcW w:type="dxa" w:w="6912"/>
          </w:tcPr>
          <w:p>
            <w:pPr>
              <w:spacing w:after="40"/>
            </w:pPr>
            <w:r/>
            <w:r>
              <w:rPr>
                <w:sz w:val="19"/>
              </w:rPr>
              <w:t>Sold and installed by distributors / channel partners</w:t>
            </w:r>
          </w:p>
        </w:tc>
      </w:tr>
      <w:tr>
        <w:tc>
          <w:tcPr>
            <w:tcW w:type="dxa" w:w="2304"/>
          </w:tcPr>
          <w:p>
            <w:pPr>
              <w:spacing w:after="40"/>
            </w:pPr>
            <w:r/>
            <w:r>
              <w:rPr>
                <w:sz w:val="19"/>
              </w:rPr>
              <w:t>Status</w:t>
            </w:r>
          </w:p>
        </w:tc>
        <w:tc>
          <w:tcPr>
            <w:tcW w:type="dxa" w:w="6912"/>
          </w:tcPr>
          <w:p>
            <w:pPr>
              <w:spacing w:after="40"/>
            </w:pPr>
            <w:r/>
            <w:r>
              <w:rPr>
                <w:sz w:val="19"/>
              </w:rPr>
              <w:t>Design proposal — not yet implemented in the codebase</w:t>
            </w:r>
          </w:p>
        </w:tc>
      </w:tr>
      <w:tr>
        <w:tc>
          <w:tcPr>
            <w:tcW w:type="dxa" w:w="2304"/>
          </w:tcPr>
          <w:p>
            <w:pPr>
              <w:spacing w:after="40"/>
            </w:pPr>
            <w:r/>
            <w:r>
              <w:rPr>
                <w:sz w:val="19"/>
              </w:rPr>
              <w:t>Related</w:t>
            </w:r>
          </w:p>
        </w:tc>
        <w:tc>
          <w:tcPr>
            <w:tcW w:type="dxa" w:w="6912"/>
          </w:tcPr>
          <w:p>
            <w:pPr>
              <w:spacing w:after="40"/>
            </w:pPr>
            <w:r/>
            <w:r>
              <w:rPr>
                <w:sz w:val="19"/>
              </w:rPr>
              <w:t>docs/ARCHITECTURE.md, docs/ROADMAP.md</w:t>
            </w:r>
          </w:p>
        </w:tc>
      </w:tr>
    </w:tbl>
    <w:p>
      <w:pPr>
        <w:spacing w:after="80"/>
      </w:pPr>
    </w:p>
    <w:p>
      <w:pPr>
        <w:pStyle w:val="Heading1"/>
      </w:pPr>
      <w:r>
        <w:t>1. Purpose and scope</w:t>
      </w:r>
    </w:p>
    <w:p>
      <w:r>
        <w:rPr>
          <w:b w:val="0"/>
          <w:i w:val="0"/>
        </w:rPr>
        <w:t>This document defines how the ANPR system is licensed, how an installation is tied to the machine it was sold for, and how the shipped software is packaged so that the source code is not readable by distributors or customers.</w:t>
      </w:r>
    </w:p>
    <w:p>
      <w:r>
        <w:rPr>
          <w:b w:val="0"/>
          <w:i w:val="0"/>
        </w:rPr>
        <w:t>It answers three business requirements:</w:t>
      </w:r>
    </w:p>
    <w:p>
      <w:pPr>
        <w:pStyle w:val="ListBullet"/>
        <w:spacing w:after="60"/>
        <w:ind w:left="360"/>
      </w:pPr>
      <w:r>
        <w:t>A distributor must obtain something from us before each installation can run — installs cannot be self-served.</w:t>
      </w:r>
    </w:p>
    <w:p>
      <w:pPr>
        <w:pStyle w:val="ListBullet"/>
        <w:spacing w:after="60"/>
        <w:ind w:left="360"/>
      </w:pPr>
      <w:r>
        <w:t>An installation must not be copyable to additional sites once activated.</w:t>
      </w:r>
    </w:p>
    <w:p>
      <w:pPr>
        <w:pStyle w:val="ListBullet"/>
        <w:spacing w:after="60"/>
        <w:ind w:left="360"/>
      </w:pPr>
      <w:r>
        <w:t>The delivered package must not expose the source code, the trained models, or the licence-checking logic.</w:t>
      </w:r>
    </w:p>
    <w:tbl>
      <w:tblPr>
        <w:tblStyle w:val="TableGrid"/>
        <w:tblW w:type="auto" w:w="0"/>
        <w:tblLook w:firstColumn="1" w:firstRow="1" w:lastColumn="0" w:lastRow="0" w:noHBand="0" w:noVBand="1" w:val="04A0"/>
      </w:tblPr>
      <w:tblGrid>
        <w:gridCol w:w="9504"/>
      </w:tblGrid>
      <w:tr>
        <w:tc>
          <w:tcPr>
            <w:tcW w:type="dxa" w:w="9504"/>
            <w:shd w:val="clear" w:fill="F7EFE4"/>
          </w:tcPr>
          <w:p>
            <w:pPr>
              <w:spacing w:after="40"/>
            </w:pPr>
            <w:r/>
            <w:r>
              <w:rPr>
                <w:b/>
                <w:color w:val="8A4B08"/>
                <w:sz w:val="16"/>
              </w:rPr>
              <w:t>READ THIS FIRST</w:t>
            </w:r>
          </w:p>
          <w:p>
            <w:pPr>
              <w:spacing w:after="0"/>
            </w:pPr>
            <w:r>
              <w:rPr>
                <w:sz w:val="19"/>
              </w:rPr>
              <w:t>No protection applied to on-premises software is absolute. Everything below is designed to make unauthorised deployment difficult, accountable and detectable — not impossible. The section 'Honest limitations' states plainly what this does and does not achieve, and should be read before any commitment is made to a customer or partner.</w:t>
            </w:r>
          </w:p>
        </w:tc>
      </w:tr>
    </w:tbl>
    <w:p>
      <w:pPr>
        <w:spacing w:after="80"/>
      </w:pPr>
    </w:p>
    <w:p>
      <w:pPr>
        <w:pStyle w:val="Heading1"/>
      </w:pPr>
      <w:r>
        <w:t>2. Definitions</w:t>
      </w:r>
    </w:p>
    <w:tbl>
      <w:tblPr>
        <w:tblStyle w:val="TableGrid"/>
        <w:tblW w:type="auto" w:w="0"/>
        <w:jc w:val="center"/>
        <w:tblLook w:firstColumn="1" w:firstRow="1" w:lastColumn="0" w:lastRow="0" w:noHBand="0" w:noVBand="1" w:val="04A0"/>
      </w:tblPr>
      <w:tblGrid>
        <w:gridCol w:w="4752"/>
        <w:gridCol w:w="4752"/>
      </w:tblGrid>
      <w:tr>
        <w:tc>
          <w:tcPr>
            <w:tcW w:type="dxa" w:w="2160"/>
            <w:shd w:val="clear" w:fill="0E5C66"/>
          </w:tcPr>
          <w:p>
            <w:r/>
            <w:r>
              <w:rPr>
                <w:b/>
                <w:color w:val="FFFFFF"/>
                <w:sz w:val="19"/>
              </w:rPr>
              <w:t>Term</w:t>
            </w:r>
          </w:p>
        </w:tc>
        <w:tc>
          <w:tcPr>
            <w:tcW w:type="dxa" w:w="7056"/>
            <w:shd w:val="clear" w:fill="0E5C66"/>
          </w:tcPr>
          <w:p>
            <w:r/>
            <w:r>
              <w:rPr>
                <w:b/>
                <w:color w:val="FFFFFF"/>
                <w:sz w:val="19"/>
              </w:rPr>
              <w:t>Definition</w:t>
            </w:r>
          </w:p>
        </w:tc>
      </w:tr>
      <w:tr>
        <w:tc>
          <w:tcPr>
            <w:tcW w:type="dxa" w:w="2160"/>
          </w:tcPr>
          <w:p>
            <w:pPr>
              <w:spacing w:after="40"/>
            </w:pPr>
            <w:r/>
            <w:r>
              <w:rPr>
                <w:sz w:val="19"/>
              </w:rPr>
              <w:t>Node-locking</w:t>
            </w:r>
          </w:p>
        </w:tc>
        <w:tc>
          <w:tcPr>
            <w:tcW w:type="dxa" w:w="7056"/>
          </w:tcPr>
          <w:p>
            <w:pPr>
              <w:spacing w:after="40"/>
            </w:pPr>
            <w:r/>
            <w:r>
              <w:rPr>
                <w:sz w:val="19"/>
              </w:rPr>
              <w:t>Binding a licence to one specific machine, so that copying the installed software to another machine produces an invalid licence.</w:t>
            </w:r>
          </w:p>
        </w:tc>
      </w:tr>
      <w:tr>
        <w:tc>
          <w:tcPr>
            <w:tcW w:type="dxa" w:w="2160"/>
          </w:tcPr>
          <w:p>
            <w:pPr>
              <w:spacing w:after="40"/>
            </w:pPr>
            <w:r/>
            <w:r>
              <w:rPr>
                <w:sz w:val="19"/>
              </w:rPr>
              <w:t>Machine fingerprint</w:t>
            </w:r>
          </w:p>
        </w:tc>
        <w:tc>
          <w:tcPr>
            <w:tcW w:type="dxa" w:w="7056"/>
          </w:tcPr>
          <w:p>
            <w:pPr>
              <w:spacing w:after="40"/>
            </w:pPr>
            <w:r/>
            <w:r>
              <w:rPr>
                <w:sz w:val="19"/>
              </w:rPr>
              <w:t>A stable identifier derived from the hardware of the edge box — for example motherboard UUID, primary network adapter MAC address, and system disk serial number — hashed into a single value.</w:t>
            </w:r>
          </w:p>
        </w:tc>
      </w:tr>
      <w:tr>
        <w:tc>
          <w:tcPr>
            <w:tcW w:type="dxa" w:w="2160"/>
          </w:tcPr>
          <w:p>
            <w:pPr>
              <w:spacing w:after="40"/>
            </w:pPr>
            <w:r/>
            <w:r>
              <w:rPr>
                <w:sz w:val="19"/>
              </w:rPr>
              <w:t>Activation key</w:t>
            </w:r>
          </w:p>
        </w:tc>
        <w:tc>
          <w:tcPr>
            <w:tcW w:type="dxa" w:w="7056"/>
          </w:tcPr>
          <w:p>
            <w:pPr>
              <w:spacing w:after="40"/>
            </w:pPr>
            <w:r/>
            <w:r>
              <w:rPr>
                <w:sz w:val="19"/>
              </w:rPr>
              <w:t>A short, human-transferable code issued by us to a distributor, valid for exactly one activation. This is what the distributor must request from us for each installation.</w:t>
            </w:r>
          </w:p>
        </w:tc>
      </w:tr>
      <w:tr>
        <w:tc>
          <w:tcPr>
            <w:tcW w:type="dxa" w:w="2160"/>
          </w:tcPr>
          <w:p>
            <w:pPr>
              <w:spacing w:after="40"/>
            </w:pPr>
            <w:r/>
            <w:r>
              <w:rPr>
                <w:sz w:val="19"/>
              </w:rPr>
              <w:t>Licence file</w:t>
            </w:r>
          </w:p>
        </w:tc>
        <w:tc>
          <w:tcPr>
            <w:tcW w:type="dxa" w:w="7056"/>
          </w:tcPr>
          <w:p>
            <w:pPr>
              <w:spacing w:after="40"/>
            </w:pPr>
            <w:r/>
            <w:r>
              <w:rPr>
                <w:sz w:val="19"/>
              </w:rPr>
              <w:t>A small signed data file produced by our licence server and stored on the edge box. It states the site, the entitlements and the machine fingerprint it is valid for.</w:t>
            </w:r>
          </w:p>
        </w:tc>
      </w:tr>
      <w:tr>
        <w:tc>
          <w:tcPr>
            <w:tcW w:type="dxa" w:w="2160"/>
          </w:tcPr>
          <w:p>
            <w:pPr>
              <w:spacing w:after="40"/>
            </w:pPr>
            <w:r/>
            <w:r>
              <w:rPr>
                <w:sz w:val="19"/>
              </w:rPr>
              <w:t>Entitlement</w:t>
            </w:r>
          </w:p>
        </w:tc>
        <w:tc>
          <w:tcPr>
            <w:tcW w:type="dxa" w:w="7056"/>
          </w:tcPr>
          <w:p>
            <w:pPr>
              <w:spacing w:after="40"/>
            </w:pPr>
            <w:r/>
            <w:r>
              <w:rPr>
                <w:sz w:val="19"/>
              </w:rPr>
              <w:t>A limit or permission carried in the licence: maximum camera count, expiry date, enabled feature set, customer name.</w:t>
            </w:r>
          </w:p>
        </w:tc>
      </w:tr>
      <w:tr>
        <w:tc>
          <w:tcPr>
            <w:tcW w:type="dxa" w:w="2160"/>
          </w:tcPr>
          <w:p>
            <w:pPr>
              <w:spacing w:after="40"/>
            </w:pPr>
            <w:r/>
            <w:r>
              <w:rPr>
                <w:sz w:val="19"/>
              </w:rPr>
              <w:t>Activation server</w:t>
            </w:r>
          </w:p>
        </w:tc>
        <w:tc>
          <w:tcPr>
            <w:tcW w:type="dxa" w:w="7056"/>
          </w:tcPr>
          <w:p>
            <w:pPr>
              <w:spacing w:after="40"/>
            </w:pPr>
            <w:r/>
            <w:r>
              <w:rPr>
                <w:sz w:val="19"/>
              </w:rPr>
              <w:t>A service we operate that exchanges a valid, unused activation key plus a machine fingerprint for a signed licence file, and records that the key has been consumed.</w:t>
            </w:r>
          </w:p>
        </w:tc>
      </w:tr>
      <w:tr>
        <w:tc>
          <w:tcPr>
            <w:tcW w:type="dxa" w:w="2160"/>
          </w:tcPr>
          <w:p>
            <w:pPr>
              <w:spacing w:after="40"/>
            </w:pPr>
            <w:r/>
            <w:r>
              <w:rPr>
                <w:sz w:val="19"/>
              </w:rPr>
              <w:t>Digital signature</w:t>
            </w:r>
          </w:p>
        </w:tc>
        <w:tc>
          <w:tcPr>
            <w:tcW w:type="dxa" w:w="7056"/>
          </w:tcPr>
          <w:p>
            <w:pPr>
              <w:spacing w:after="40"/>
            </w:pPr>
            <w:r/>
            <w:r>
              <w:rPr>
                <w:sz w:val="19"/>
              </w:rPr>
              <w:t>A cryptographic proof that the licence file was produced by us and has not been altered. Verified on the edge box using a public key embedded in the software; the corresponding private key never leaves our licence server.</w:t>
            </w:r>
          </w:p>
        </w:tc>
      </w:tr>
      <w:tr>
        <w:tc>
          <w:tcPr>
            <w:tcW w:type="dxa" w:w="2160"/>
          </w:tcPr>
          <w:p>
            <w:pPr>
              <w:spacing w:after="40"/>
            </w:pPr>
            <w:r/>
            <w:r>
              <w:rPr>
                <w:sz w:val="19"/>
              </w:rPr>
              <w:t>Grace period</w:t>
            </w:r>
          </w:p>
        </w:tc>
        <w:tc>
          <w:tcPr>
            <w:tcW w:type="dxa" w:w="7056"/>
          </w:tcPr>
          <w:p>
            <w:pPr>
              <w:spacing w:after="40"/>
            </w:pPr>
            <w:r/>
            <w:r>
              <w:rPr>
                <w:sz w:val="19"/>
              </w:rPr>
              <w:t>A defined window during which the software continues to operate after a licence expires or a hardware change is detected, so that a site is never taken offline without warning.</w:t>
            </w:r>
          </w:p>
        </w:tc>
      </w:tr>
      <w:tr>
        <w:tc>
          <w:tcPr>
            <w:tcW w:type="dxa" w:w="2160"/>
          </w:tcPr>
          <w:p>
            <w:pPr>
              <w:spacing w:after="40"/>
            </w:pPr>
            <w:r/>
            <w:r>
              <w:rPr>
                <w:sz w:val="19"/>
              </w:rPr>
              <w:t>Fail-safe behaviour</w:t>
            </w:r>
          </w:p>
        </w:tc>
        <w:tc>
          <w:tcPr>
            <w:tcW w:type="dxa" w:w="7056"/>
          </w:tcPr>
          <w:p>
            <w:pPr>
              <w:spacing w:after="40"/>
            </w:pPr>
            <w:r/>
            <w:r>
              <w:rPr>
                <w:sz w:val="19"/>
              </w:rPr>
              <w:t>The defined, deliberately chosen behaviour of the system when a licence is invalid — for this product, degraded operation rather than an abrupt stop.</w:t>
            </w:r>
          </w:p>
        </w:tc>
      </w:tr>
    </w:tbl>
    <w:p>
      <w:pPr>
        <w:spacing w:after="80"/>
      </w:pPr>
    </w:p>
    <w:p>
      <w:pPr>
        <w:pStyle w:val="Heading1"/>
      </w:pPr>
      <w:r>
        <w:t>3. Threat model</w:t>
      </w:r>
    </w:p>
    <w:p>
      <w:r>
        <w:rPr>
          <w:b w:val="0"/>
          <w:i w:val="0"/>
        </w:rPr>
        <w:t>Protection measures are only meaningful against a stated adversary. The design below is aimed at the first two rows of this table and explicitly does not defend against the third.</w:t>
      </w:r>
    </w:p>
    <w:tbl>
      <w:tblPr>
        <w:tblStyle w:val="TableGrid"/>
        <w:tblW w:type="auto" w:w="0"/>
        <w:jc w:val="center"/>
        <w:tblLook w:firstColumn="1" w:firstRow="1" w:lastColumn="0" w:lastRow="0" w:noHBand="0" w:noVBand="1" w:val="04A0"/>
      </w:tblPr>
      <w:tblGrid>
        <w:gridCol w:w="3168"/>
        <w:gridCol w:w="3168"/>
        <w:gridCol w:w="3168"/>
      </w:tblGrid>
      <w:tr>
        <w:tc>
          <w:tcPr>
            <w:tcW w:type="dxa" w:w="2448"/>
            <w:shd w:val="clear" w:fill="0E5C66"/>
          </w:tcPr>
          <w:p>
            <w:r/>
            <w:r>
              <w:rPr>
                <w:b/>
                <w:color w:val="FFFFFF"/>
                <w:sz w:val="19"/>
              </w:rPr>
              <w:t>Who</w:t>
            </w:r>
          </w:p>
        </w:tc>
        <w:tc>
          <w:tcPr>
            <w:tcW w:type="dxa" w:w="4752"/>
            <w:shd w:val="clear" w:fill="0E5C66"/>
          </w:tcPr>
          <w:p>
            <w:r/>
            <w:r>
              <w:rPr>
                <w:b/>
                <w:color w:val="FFFFFF"/>
                <w:sz w:val="19"/>
              </w:rPr>
              <w:t>What they might do</w:t>
            </w:r>
          </w:p>
        </w:tc>
        <w:tc>
          <w:tcPr>
            <w:tcW w:type="dxa" w:w="2016"/>
            <w:shd w:val="clear" w:fill="0E5C66"/>
          </w:tcPr>
          <w:p>
            <w:r/>
            <w:r>
              <w:rPr>
                <w:b/>
                <w:color w:val="FFFFFF"/>
                <w:sz w:val="19"/>
              </w:rPr>
              <w:t>Addressed?</w:t>
            </w:r>
          </w:p>
        </w:tc>
      </w:tr>
      <w:tr>
        <w:tc>
          <w:tcPr>
            <w:tcW w:type="dxa" w:w="2448"/>
          </w:tcPr>
          <w:p>
            <w:pPr>
              <w:spacing w:after="40"/>
            </w:pPr>
            <w:r/>
            <w:r>
              <w:rPr>
                <w:sz w:val="19"/>
              </w:rPr>
              <w:t>Distributor / channel partner</w:t>
            </w:r>
          </w:p>
        </w:tc>
        <w:tc>
          <w:tcPr>
            <w:tcW w:type="dxa" w:w="4752"/>
          </w:tcPr>
          <w:p>
            <w:pPr>
              <w:spacing w:after="40"/>
            </w:pPr>
            <w:r/>
            <w:r>
              <w:rPr>
                <w:sz w:val="19"/>
              </w:rPr>
              <w:t>Install one purchased licence at several sites; re-use an installer image; add more cameras than were paid for.</w:t>
            </w:r>
          </w:p>
        </w:tc>
        <w:tc>
          <w:tcPr>
            <w:tcW w:type="dxa" w:w="2016"/>
          </w:tcPr>
          <w:p>
            <w:pPr>
              <w:spacing w:after="40"/>
            </w:pPr>
            <w:r/>
            <w:r>
              <w:rPr>
                <w:sz w:val="19"/>
              </w:rPr>
              <w:t>Yes — this is the primary target.</w:t>
            </w:r>
          </w:p>
        </w:tc>
      </w:tr>
      <w:tr>
        <w:tc>
          <w:tcPr>
            <w:tcW w:type="dxa" w:w="2448"/>
          </w:tcPr>
          <w:p>
            <w:pPr>
              <w:spacing w:after="40"/>
            </w:pPr>
            <w:r/>
            <w:r>
              <w:rPr>
                <w:sz w:val="19"/>
              </w:rPr>
              <w:t>End customer (society / facility)</w:t>
            </w:r>
          </w:p>
        </w:tc>
        <w:tc>
          <w:tcPr>
            <w:tcW w:type="dxa" w:w="4752"/>
          </w:tcPr>
          <w:p>
            <w:pPr>
              <w:spacing w:after="40"/>
            </w:pPr>
            <w:r/>
            <w:r>
              <w:rPr>
                <w:sz w:val="19"/>
              </w:rPr>
              <w:t>Clone the edge box to a second gate; move the software to newer hardware without telling anyone; extend a lapsed subscription by changing the system clock.</w:t>
            </w:r>
          </w:p>
        </w:tc>
        <w:tc>
          <w:tcPr>
            <w:tcW w:type="dxa" w:w="2016"/>
          </w:tcPr>
          <w:p>
            <w:pPr>
              <w:spacing w:after="40"/>
            </w:pPr>
            <w:r/>
            <w:r>
              <w:rPr>
                <w:sz w:val="19"/>
              </w:rPr>
              <w:t>Yes.</w:t>
            </w:r>
          </w:p>
        </w:tc>
      </w:tr>
      <w:tr>
        <w:tc>
          <w:tcPr>
            <w:tcW w:type="dxa" w:w="2448"/>
          </w:tcPr>
          <w:p>
            <w:pPr>
              <w:spacing w:after="40"/>
            </w:pPr>
            <w:r/>
            <w:r>
              <w:rPr>
                <w:sz w:val="19"/>
              </w:rPr>
              <w:t>Skilled reverse engineer</w:t>
            </w:r>
          </w:p>
        </w:tc>
        <w:tc>
          <w:tcPr>
            <w:tcW w:type="dxa" w:w="4752"/>
          </w:tcPr>
          <w:p>
            <w:pPr>
              <w:spacing w:after="40"/>
            </w:pPr>
            <w:r/>
            <w:r>
              <w:rPr>
                <w:sz w:val="19"/>
              </w:rPr>
              <w:t>Decompile the package, locate the licence check and remove it; extract the trained model files for use elsewhere.</w:t>
            </w:r>
          </w:p>
        </w:tc>
        <w:tc>
          <w:tcPr>
            <w:tcW w:type="dxa" w:w="2016"/>
          </w:tcPr>
          <w:p>
            <w:pPr>
              <w:spacing w:after="40"/>
            </w:pPr>
            <w:r/>
            <w:r>
              <w:rPr>
                <w:sz w:val="19"/>
              </w:rPr>
              <w:t>No — can be slowed, not prevented.</w:t>
            </w:r>
          </w:p>
        </w:tc>
      </w:tr>
    </w:tbl>
    <w:p>
      <w:pPr>
        <w:spacing w:after="80"/>
      </w:pPr>
    </w:p>
    <w:p>
      <w:r>
        <w:rPr>
          <w:b w:val="0"/>
          <w:i/>
          <w:color w:val="5A6266"/>
        </w:rPr>
        <w:t>This matters commercially: the realistic risk in a distributor channel is casual over-deployment by partners who want to keep the relationship, not determined cracking. Node-locked activation addresses that risk well.</w:t>
      </w:r>
    </w:p>
    <w:p>
      <w:pPr>
        <w:pStyle w:val="Heading1"/>
      </w:pPr>
      <w:r>
        <w:t>4. Why a one-time password is not the right mechanism</w:t>
      </w:r>
    </w:p>
    <w:p>
      <w:r>
        <w:rPr>
          <w:b w:val="0"/>
          <w:i w:val="0"/>
        </w:rPr>
        <w:t>A one-time password proves that somebody knew a secret at the moment of installation. It does not bind to anything afterwards. Once the software is installed and running, an OTP places no constraint on what happens next.</w:t>
      </w:r>
    </w:p>
    <w:tbl>
      <w:tblPr>
        <w:tblStyle w:val="TableGrid"/>
        <w:tblW w:type="auto" w:w="0"/>
        <w:jc w:val="center"/>
        <w:tblLook w:firstColumn="1" w:firstRow="1" w:lastColumn="0" w:lastRow="0" w:noHBand="0" w:noVBand="1" w:val="04A0"/>
      </w:tblPr>
      <w:tblGrid>
        <w:gridCol w:w="3168"/>
        <w:gridCol w:w="3168"/>
        <w:gridCol w:w="3168"/>
      </w:tblGrid>
      <w:tr>
        <w:tc>
          <w:tcPr>
            <w:tcW w:type="dxa" w:w="3888"/>
            <w:shd w:val="clear" w:fill="0E5C66"/>
          </w:tcPr>
          <w:p>
            <w:r/>
            <w:r>
              <w:rPr>
                <w:b/>
                <w:color w:val="FFFFFF"/>
                <w:sz w:val="19"/>
              </w:rPr>
              <w:t>Requirement</w:t>
            </w:r>
          </w:p>
        </w:tc>
        <w:tc>
          <w:tcPr>
            <w:tcW w:type="dxa" w:w="2448"/>
            <w:shd w:val="clear" w:fill="0E5C66"/>
          </w:tcPr>
          <w:p>
            <w:r/>
            <w:r>
              <w:rPr>
                <w:b/>
                <w:color w:val="FFFFFF"/>
                <w:sz w:val="19"/>
              </w:rPr>
              <w:t>One-time password</w:t>
            </w:r>
          </w:p>
        </w:tc>
        <w:tc>
          <w:tcPr>
            <w:tcW w:type="dxa" w:w="2880"/>
            <w:shd w:val="clear" w:fill="0E5C66"/>
          </w:tcPr>
          <w:p>
            <w:r/>
            <w:r>
              <w:rPr>
                <w:b/>
                <w:color w:val="FFFFFF"/>
                <w:sz w:val="19"/>
              </w:rPr>
              <w:t>Node-locked licence</w:t>
            </w:r>
          </w:p>
        </w:tc>
      </w:tr>
      <w:tr>
        <w:tc>
          <w:tcPr>
            <w:tcW w:type="dxa" w:w="3888"/>
          </w:tcPr>
          <w:p>
            <w:pPr>
              <w:spacing w:after="40"/>
            </w:pPr>
            <w:r/>
            <w:r>
              <w:rPr>
                <w:sz w:val="19"/>
              </w:rPr>
              <w:t>Distributor must contact us per installation</w:t>
            </w:r>
          </w:p>
        </w:tc>
        <w:tc>
          <w:tcPr>
            <w:tcW w:type="dxa" w:w="2448"/>
          </w:tcPr>
          <w:p>
            <w:pPr>
              <w:spacing w:after="40"/>
            </w:pPr>
            <w:r/>
            <w:r>
              <w:rPr>
                <w:sz w:val="19"/>
              </w:rPr>
              <w:t>Yes</w:t>
            </w:r>
          </w:p>
        </w:tc>
        <w:tc>
          <w:tcPr>
            <w:tcW w:type="dxa" w:w="2880"/>
          </w:tcPr>
          <w:p>
            <w:pPr>
              <w:spacing w:after="40"/>
            </w:pPr>
            <w:r/>
            <w:r>
              <w:rPr>
                <w:sz w:val="19"/>
              </w:rPr>
              <w:t>Yes</w:t>
            </w:r>
          </w:p>
        </w:tc>
      </w:tr>
      <w:tr>
        <w:tc>
          <w:tcPr>
            <w:tcW w:type="dxa" w:w="3888"/>
          </w:tcPr>
          <w:p>
            <w:pPr>
              <w:spacing w:after="40"/>
            </w:pPr>
            <w:r/>
            <w:r>
              <w:rPr>
                <w:sz w:val="19"/>
              </w:rPr>
              <w:t>Prevents cloning the installed box to another site</w:t>
            </w:r>
          </w:p>
        </w:tc>
        <w:tc>
          <w:tcPr>
            <w:tcW w:type="dxa" w:w="2448"/>
          </w:tcPr>
          <w:p>
            <w:pPr>
              <w:spacing w:after="40"/>
            </w:pPr>
            <w:r/>
            <w:r>
              <w:rPr>
                <w:sz w:val="19"/>
              </w:rPr>
              <w:t>No</w:t>
            </w:r>
          </w:p>
        </w:tc>
        <w:tc>
          <w:tcPr>
            <w:tcW w:type="dxa" w:w="2880"/>
          </w:tcPr>
          <w:p>
            <w:pPr>
              <w:spacing w:after="40"/>
            </w:pPr>
            <w:r/>
            <w:r>
              <w:rPr>
                <w:sz w:val="19"/>
              </w:rPr>
              <w:t>Yes</w:t>
            </w:r>
          </w:p>
        </w:tc>
      </w:tr>
      <w:tr>
        <w:tc>
          <w:tcPr>
            <w:tcW w:type="dxa" w:w="3888"/>
          </w:tcPr>
          <w:p>
            <w:pPr>
              <w:spacing w:after="40"/>
            </w:pPr>
            <w:r/>
            <w:r>
              <w:rPr>
                <w:sz w:val="19"/>
              </w:rPr>
              <w:t>Prevents re-installing from a disk image</w:t>
            </w:r>
          </w:p>
        </w:tc>
        <w:tc>
          <w:tcPr>
            <w:tcW w:type="dxa" w:w="2448"/>
          </w:tcPr>
          <w:p>
            <w:pPr>
              <w:spacing w:after="40"/>
            </w:pPr>
            <w:r/>
            <w:r>
              <w:rPr>
                <w:sz w:val="19"/>
              </w:rPr>
              <w:t>No</w:t>
            </w:r>
          </w:p>
        </w:tc>
        <w:tc>
          <w:tcPr>
            <w:tcW w:type="dxa" w:w="2880"/>
          </w:tcPr>
          <w:p>
            <w:pPr>
              <w:spacing w:after="40"/>
            </w:pPr>
            <w:r/>
            <w:r>
              <w:rPr>
                <w:sz w:val="19"/>
              </w:rPr>
              <w:t>Yes</w:t>
            </w:r>
          </w:p>
        </w:tc>
      </w:tr>
      <w:tr>
        <w:tc>
          <w:tcPr>
            <w:tcW w:type="dxa" w:w="3888"/>
          </w:tcPr>
          <w:p>
            <w:pPr>
              <w:spacing w:after="40"/>
            </w:pPr>
            <w:r/>
            <w:r>
              <w:rPr>
                <w:sz w:val="19"/>
              </w:rPr>
              <w:t>Enforces a camera-count limit</w:t>
            </w:r>
          </w:p>
        </w:tc>
        <w:tc>
          <w:tcPr>
            <w:tcW w:type="dxa" w:w="2448"/>
          </w:tcPr>
          <w:p>
            <w:pPr>
              <w:spacing w:after="40"/>
            </w:pPr>
            <w:r/>
            <w:r>
              <w:rPr>
                <w:sz w:val="19"/>
              </w:rPr>
              <w:t>No</w:t>
            </w:r>
          </w:p>
        </w:tc>
        <w:tc>
          <w:tcPr>
            <w:tcW w:type="dxa" w:w="2880"/>
          </w:tcPr>
          <w:p>
            <w:pPr>
              <w:spacing w:after="40"/>
            </w:pPr>
            <w:r/>
            <w:r>
              <w:rPr>
                <w:sz w:val="19"/>
              </w:rPr>
              <w:t>Yes</w:t>
            </w:r>
          </w:p>
        </w:tc>
      </w:tr>
      <w:tr>
        <w:tc>
          <w:tcPr>
            <w:tcW w:type="dxa" w:w="3888"/>
          </w:tcPr>
          <w:p>
            <w:pPr>
              <w:spacing w:after="40"/>
            </w:pPr>
            <w:r/>
            <w:r>
              <w:rPr>
                <w:sz w:val="19"/>
              </w:rPr>
              <w:t>Supports subscription expiry</w:t>
            </w:r>
          </w:p>
        </w:tc>
        <w:tc>
          <w:tcPr>
            <w:tcW w:type="dxa" w:w="2448"/>
          </w:tcPr>
          <w:p>
            <w:pPr>
              <w:spacing w:after="40"/>
            </w:pPr>
            <w:r/>
            <w:r>
              <w:rPr>
                <w:sz w:val="19"/>
              </w:rPr>
              <w:t>No</w:t>
            </w:r>
          </w:p>
        </w:tc>
        <w:tc>
          <w:tcPr>
            <w:tcW w:type="dxa" w:w="2880"/>
          </w:tcPr>
          <w:p>
            <w:pPr>
              <w:spacing w:after="40"/>
            </w:pPr>
            <w:r/>
            <w:r>
              <w:rPr>
                <w:sz w:val="19"/>
              </w:rPr>
              <w:t>Yes</w:t>
            </w:r>
          </w:p>
        </w:tc>
      </w:tr>
      <w:tr>
        <w:tc>
          <w:tcPr>
            <w:tcW w:type="dxa" w:w="3888"/>
          </w:tcPr>
          <w:p>
            <w:pPr>
              <w:spacing w:after="40"/>
            </w:pPr>
            <w:r/>
            <w:r>
              <w:rPr>
                <w:sz w:val="19"/>
              </w:rPr>
              <w:t>Lets us identify and audit each live site</w:t>
            </w:r>
          </w:p>
        </w:tc>
        <w:tc>
          <w:tcPr>
            <w:tcW w:type="dxa" w:w="2448"/>
          </w:tcPr>
          <w:p>
            <w:pPr>
              <w:spacing w:after="40"/>
            </w:pPr>
            <w:r/>
            <w:r>
              <w:rPr>
                <w:sz w:val="19"/>
              </w:rPr>
              <w:t>No</w:t>
            </w:r>
          </w:p>
        </w:tc>
        <w:tc>
          <w:tcPr>
            <w:tcW w:type="dxa" w:w="2880"/>
          </w:tcPr>
          <w:p>
            <w:pPr>
              <w:spacing w:after="40"/>
            </w:pPr>
            <w:r/>
            <w:r>
              <w:rPr>
                <w:sz w:val="19"/>
              </w:rPr>
              <w:t>Yes</w:t>
            </w:r>
          </w:p>
        </w:tc>
      </w:tr>
      <w:tr>
        <w:tc>
          <w:tcPr>
            <w:tcW w:type="dxa" w:w="3888"/>
          </w:tcPr>
          <w:p>
            <w:pPr>
              <w:spacing w:after="40"/>
            </w:pPr>
            <w:r/>
            <w:r>
              <w:rPr>
                <w:sz w:val="19"/>
              </w:rPr>
              <w:t>Works on a site with no internet</w:t>
            </w:r>
          </w:p>
        </w:tc>
        <w:tc>
          <w:tcPr>
            <w:tcW w:type="dxa" w:w="2448"/>
          </w:tcPr>
          <w:p>
            <w:pPr>
              <w:spacing w:after="40"/>
            </w:pPr>
            <w:r/>
            <w:r>
              <w:rPr>
                <w:sz w:val="19"/>
              </w:rPr>
              <w:t>Yes</w:t>
            </w:r>
          </w:p>
        </w:tc>
        <w:tc>
          <w:tcPr>
            <w:tcW w:type="dxa" w:w="2880"/>
          </w:tcPr>
          <w:p>
            <w:pPr>
              <w:spacing w:after="40"/>
            </w:pPr>
            <w:r/>
            <w:r>
              <w:rPr>
                <w:sz w:val="19"/>
              </w:rPr>
              <w:t>Yes, via offline activation</w:t>
            </w:r>
          </w:p>
        </w:tc>
      </w:tr>
    </w:tbl>
    <w:p>
      <w:pPr>
        <w:spacing w:after="80"/>
      </w:pPr>
    </w:p>
    <w:p>
      <w:r>
        <w:rPr>
          <w:b w:val="0"/>
          <w:i w:val="0"/>
        </w:rPr>
        <w:t>The conclusion is not that the distributor should stop asking us for something — it is that what they ask for should be an activation key bound to a machine, rather than a password that expires the moment it is used.</w:t>
      </w:r>
    </w:p>
    <w:p>
      <w:pPr>
        <w:pStyle w:val="Heading1"/>
      </w:pPr>
      <w:r>
        <w:t>5. Architecture</w:t>
      </w:r>
    </w:p>
    <w:p>
      <w:pPr>
        <w:pStyle w:val="Heading2"/>
      </w:pPr>
      <w:r>
        <w:t>5.1 Components</w:t>
      </w:r>
    </w:p>
    <w:tbl>
      <w:tblPr>
        <w:tblStyle w:val="TableGrid"/>
        <w:tblW w:type="auto" w:w="0"/>
        <w:jc w:val="center"/>
        <w:tblLook w:firstColumn="1" w:firstRow="1" w:lastColumn="0" w:lastRow="0" w:noHBand="0" w:noVBand="1" w:val="04A0"/>
      </w:tblPr>
      <w:tblGrid>
        <w:gridCol w:w="3168"/>
        <w:gridCol w:w="3168"/>
        <w:gridCol w:w="3168"/>
      </w:tblGrid>
      <w:tr>
        <w:tc>
          <w:tcPr>
            <w:tcW w:type="dxa" w:w="2016"/>
            <w:shd w:val="clear" w:fill="0E5C66"/>
          </w:tcPr>
          <w:p>
            <w:r/>
            <w:r>
              <w:rPr>
                <w:b/>
                <w:color w:val="FFFFFF"/>
                <w:sz w:val="19"/>
              </w:rPr>
              <w:t>Component</w:t>
            </w:r>
          </w:p>
        </w:tc>
        <w:tc>
          <w:tcPr>
            <w:tcW w:type="dxa" w:w="2160"/>
            <w:shd w:val="clear" w:fill="0E5C66"/>
          </w:tcPr>
          <w:p>
            <w:r/>
            <w:r>
              <w:rPr>
                <w:b/>
                <w:color w:val="FFFFFF"/>
                <w:sz w:val="19"/>
              </w:rPr>
              <w:t>Where it runs</w:t>
            </w:r>
          </w:p>
        </w:tc>
        <w:tc>
          <w:tcPr>
            <w:tcW w:type="dxa" w:w="5040"/>
            <w:shd w:val="clear" w:fill="0E5C66"/>
          </w:tcPr>
          <w:p>
            <w:r/>
            <w:r>
              <w:rPr>
                <w:b/>
                <w:color w:val="FFFFFF"/>
                <w:sz w:val="19"/>
              </w:rPr>
              <w:t>Responsibility</w:t>
            </w:r>
          </w:p>
        </w:tc>
      </w:tr>
      <w:tr>
        <w:tc>
          <w:tcPr>
            <w:tcW w:type="dxa" w:w="2016"/>
          </w:tcPr>
          <w:p>
            <w:pPr>
              <w:spacing w:after="40"/>
            </w:pPr>
            <w:r/>
            <w:r>
              <w:rPr>
                <w:sz w:val="19"/>
              </w:rPr>
              <w:t>Licence server</w:t>
            </w:r>
          </w:p>
        </w:tc>
        <w:tc>
          <w:tcPr>
            <w:tcW w:type="dxa" w:w="2160"/>
          </w:tcPr>
          <w:p>
            <w:pPr>
              <w:spacing w:after="40"/>
            </w:pPr>
            <w:r/>
            <w:r>
              <w:rPr>
                <w:sz w:val="19"/>
              </w:rPr>
              <w:t>Our infrastructure</w:t>
            </w:r>
          </w:p>
        </w:tc>
        <w:tc>
          <w:tcPr>
            <w:tcW w:type="dxa" w:w="5040"/>
          </w:tcPr>
          <w:p>
            <w:pPr>
              <w:spacing w:after="40"/>
            </w:pPr>
            <w:r/>
            <w:r>
              <w:rPr>
                <w:sz w:val="19"/>
              </w:rPr>
              <w:t>Issues activation keys, records which have been consumed, signs licence files, holds the private signing key.</w:t>
            </w:r>
          </w:p>
        </w:tc>
      </w:tr>
      <w:tr>
        <w:tc>
          <w:tcPr>
            <w:tcW w:type="dxa" w:w="2016"/>
          </w:tcPr>
          <w:p>
            <w:pPr>
              <w:spacing w:after="40"/>
            </w:pPr>
            <w:r/>
            <w:r>
              <w:rPr>
                <w:sz w:val="19"/>
              </w:rPr>
              <w:t>Activation key</w:t>
            </w:r>
          </w:p>
        </w:tc>
        <w:tc>
          <w:tcPr>
            <w:tcW w:type="dxa" w:w="2160"/>
          </w:tcPr>
          <w:p>
            <w:pPr>
              <w:spacing w:after="40"/>
            </w:pPr>
            <w:r/>
            <w:r>
              <w:rPr>
                <w:sz w:val="19"/>
              </w:rPr>
              <w:t>Issued to distributor</w:t>
            </w:r>
          </w:p>
        </w:tc>
        <w:tc>
          <w:tcPr>
            <w:tcW w:type="dxa" w:w="5040"/>
          </w:tcPr>
          <w:p>
            <w:pPr>
              <w:spacing w:after="40"/>
            </w:pPr>
            <w:r/>
            <w:r>
              <w:rPr>
                <w:sz w:val="19"/>
              </w:rPr>
              <w:t>Single-use code authorising exactly one installation.</w:t>
            </w:r>
          </w:p>
        </w:tc>
      </w:tr>
      <w:tr>
        <w:tc>
          <w:tcPr>
            <w:tcW w:type="dxa" w:w="2016"/>
          </w:tcPr>
          <w:p>
            <w:pPr>
              <w:spacing w:after="40"/>
            </w:pPr>
            <w:r/>
            <w:r>
              <w:rPr>
                <w:sz w:val="19"/>
              </w:rPr>
              <w:t>Installer</w:t>
            </w:r>
          </w:p>
        </w:tc>
        <w:tc>
          <w:tcPr>
            <w:tcW w:type="dxa" w:w="2160"/>
          </w:tcPr>
          <w:p>
            <w:pPr>
              <w:spacing w:after="40"/>
            </w:pPr>
            <w:r/>
            <w:r>
              <w:rPr>
                <w:sz w:val="19"/>
              </w:rPr>
              <w:t>Edge box, once</w:t>
            </w:r>
          </w:p>
        </w:tc>
        <w:tc>
          <w:tcPr>
            <w:tcW w:type="dxa" w:w="5040"/>
          </w:tcPr>
          <w:p>
            <w:pPr>
              <w:spacing w:after="40"/>
            </w:pPr>
            <w:r/>
            <w:r>
              <w:rPr>
                <w:sz w:val="19"/>
              </w:rPr>
              <w:t>Collects the machine fingerprint, exchanges the activation key for a licence file, writes it to disk.</w:t>
            </w:r>
          </w:p>
        </w:tc>
      </w:tr>
      <w:tr>
        <w:tc>
          <w:tcPr>
            <w:tcW w:type="dxa" w:w="2016"/>
          </w:tcPr>
          <w:p>
            <w:pPr>
              <w:spacing w:after="40"/>
            </w:pPr>
            <w:r/>
            <w:r>
              <w:rPr>
                <w:sz w:val="19"/>
              </w:rPr>
              <w:t>Licence file</w:t>
            </w:r>
          </w:p>
        </w:tc>
        <w:tc>
          <w:tcPr>
            <w:tcW w:type="dxa" w:w="2160"/>
          </w:tcPr>
          <w:p>
            <w:pPr>
              <w:spacing w:after="40"/>
            </w:pPr>
            <w:r/>
            <w:r>
              <w:rPr>
                <w:sz w:val="19"/>
              </w:rPr>
              <w:t>Edge box, on disk</w:t>
            </w:r>
          </w:p>
        </w:tc>
        <w:tc>
          <w:tcPr>
            <w:tcW w:type="dxa" w:w="5040"/>
          </w:tcPr>
          <w:p>
            <w:pPr>
              <w:spacing w:after="40"/>
            </w:pPr>
            <w:r/>
            <w:r>
              <w:rPr>
                <w:sz w:val="19"/>
              </w:rPr>
              <w:t>Signed statement of site identity, entitlements, expiry and bound fingerprint.</w:t>
            </w:r>
          </w:p>
        </w:tc>
      </w:tr>
      <w:tr>
        <w:tc>
          <w:tcPr>
            <w:tcW w:type="dxa" w:w="2016"/>
          </w:tcPr>
          <w:p>
            <w:pPr>
              <w:spacing w:after="40"/>
            </w:pPr>
            <w:r/>
            <w:r>
              <w:rPr>
                <w:sz w:val="19"/>
              </w:rPr>
              <w:t>Licence verifier</w:t>
            </w:r>
          </w:p>
        </w:tc>
        <w:tc>
          <w:tcPr>
            <w:tcW w:type="dxa" w:w="2160"/>
          </w:tcPr>
          <w:p>
            <w:pPr>
              <w:spacing w:after="40"/>
            </w:pPr>
            <w:r/>
            <w:r>
              <w:rPr>
                <w:sz w:val="19"/>
              </w:rPr>
              <w:t>Edge box, every start</w:t>
            </w:r>
          </w:p>
        </w:tc>
        <w:tc>
          <w:tcPr>
            <w:tcW w:type="dxa" w:w="5040"/>
          </w:tcPr>
          <w:p>
            <w:pPr>
              <w:spacing w:after="40"/>
            </w:pPr>
            <w:r/>
            <w:r>
              <w:rPr>
                <w:sz w:val="19"/>
              </w:rPr>
              <w:t>Validates the signature, re-computes the fingerprint, checks expiry, and publishes the entitlements to the rest of the application.</w:t>
            </w:r>
          </w:p>
        </w:tc>
      </w:tr>
    </w:tbl>
    <w:p>
      <w:pPr>
        <w:spacing w:after="80"/>
      </w:pPr>
    </w:p>
    <w:p>
      <w:pPr>
        <w:pStyle w:val="Heading2"/>
      </w:pPr>
      <w:r>
        <w:t>5.2 Online activation flow</w:t>
      </w:r>
    </w:p>
    <w:p>
      <w:pPr>
        <w:spacing w:after="40"/>
      </w:pPr>
      <w:r>
        <w:rPr>
          <w:b/>
          <w:color w:val="5A6266"/>
          <w:sz w:val="16"/>
        </w:rPr>
        <w:t>ONLINE ACTIVATION</w:t>
      </w:r>
    </w:p>
    <w:tbl>
      <w:tblPr>
        <w:tblStyle w:val="TableGrid"/>
        <w:tblW w:type="auto" w:w="0"/>
        <w:tblLook w:firstColumn="1" w:firstRow="1" w:lastColumn="0" w:lastRow="0" w:noHBand="0" w:noVBand="1" w:val="04A0"/>
      </w:tblPr>
      <w:tblGrid>
        <w:gridCol w:w="9504"/>
      </w:tblGrid>
      <w:tr>
        <w:tc>
          <w:tcPr>
            <w:tcW w:type="dxa" w:w="9504"/>
            <w:shd w:val="clear" w:fill="F2F5F5"/>
          </w:tcPr>
          <w:p>
            <w:pPr>
              <w:spacing w:after="0" w:line="240" w:lineRule="auto"/>
            </w:pPr>
            <w:r/>
            <w:r>
              <w:rPr>
                <w:rFonts w:ascii="Consolas" w:hAnsi="Consolas"/>
                <w:sz w:val="17"/>
              </w:rPr>
              <w:t>DISTRIBUTOR                 EDGE BOX (installer)              OUR LICENCE SERVER</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1. requests a key           |                                 |</w:t>
            </w:r>
          </w:p>
          <w:p>
            <w:pPr>
              <w:spacing w:after="0" w:line="240" w:lineRule="auto"/>
            </w:pPr>
            <w:r>
              <w:rPr>
                <w:rFonts w:ascii="Consolas" w:hAnsi="Consolas"/>
                <w:sz w:val="17"/>
              </w:rPr>
              <w:t xml:space="preserve">     |-----------------------------------------------------------&gt;    |</w:t>
            </w:r>
          </w:p>
          <w:p>
            <w:pPr>
              <w:spacing w:after="0" w:line="240" w:lineRule="auto"/>
            </w:pPr>
            <w:r>
              <w:rPr>
                <w:rFonts w:ascii="Consolas" w:hAnsi="Consolas"/>
                <w:sz w:val="17"/>
              </w:rPr>
              <w:t xml:space="preserve">     |  2. activation key           |                                 |</w:t>
            </w:r>
          </w:p>
          <w:p>
            <w:pPr>
              <w:spacing w:after="0" w:line="240" w:lineRule="auto"/>
            </w:pPr>
            <w:r>
              <w:rPr>
                <w:rFonts w:ascii="Consolas" w:hAnsi="Consolas"/>
                <w:sz w:val="17"/>
              </w:rPr>
              <w:t xml:space="preserve">     |  &lt;-----------------------------------------------------------  |</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3. enters key               |                                 |</w:t>
            </w:r>
          </w:p>
          <w:p>
            <w:pPr>
              <w:spacing w:after="0" w:line="240" w:lineRule="auto"/>
            </w:pPr>
            <w:r>
              <w:rPr>
                <w:rFonts w:ascii="Consolas" w:hAnsi="Consolas"/>
                <w:sz w:val="17"/>
              </w:rPr>
              <w:t xml:space="preserve">     |-----------------------------&gt;|                                 |</w:t>
            </w:r>
          </w:p>
          <w:p>
            <w:pPr>
              <w:spacing w:after="0" w:line="240" w:lineRule="auto"/>
            </w:pPr>
            <w:r>
              <w:rPr>
                <w:rFonts w:ascii="Consolas" w:hAnsi="Consolas"/>
                <w:sz w:val="17"/>
              </w:rPr>
              <w:t xml:space="preserve">     |                              | 4. computes machine fingerprint |</w:t>
            </w:r>
          </w:p>
          <w:p>
            <w:pPr>
              <w:spacing w:after="0" w:line="240" w:lineRule="auto"/>
            </w:pPr>
            <w:r>
              <w:rPr>
                <w:rFonts w:ascii="Consolas" w:hAnsi="Consolas"/>
                <w:sz w:val="17"/>
              </w:rPr>
              <w:t xml:space="preserve">     |                              |    (board UUID + MAC + disk)    |</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 5. POST {key, fingerprint,      |</w:t>
            </w:r>
          </w:p>
          <w:p>
            <w:pPr>
              <w:spacing w:after="0" w:line="240" w:lineRule="auto"/>
            </w:pPr>
            <w:r>
              <w:rPr>
                <w:rFonts w:ascii="Consolas" w:hAnsi="Consolas"/>
                <w:sz w:val="17"/>
              </w:rPr>
              <w:t xml:space="preserve">     |                              |          site details}          |</w:t>
            </w:r>
          </w:p>
          <w:p>
            <w:pPr>
              <w:spacing w:after="0" w:line="240" w:lineRule="auto"/>
            </w:pPr>
            <w:r>
              <w:rPr>
                <w:rFonts w:ascii="Consolas" w:hAnsi="Consolas"/>
                <w:sz w:val="17"/>
              </w:rPr>
              <w:t xml:space="preserve">     |                              |--------------------------------&gt;|</w:t>
            </w:r>
          </w:p>
          <w:p>
            <w:pPr>
              <w:spacing w:after="0" w:line="240" w:lineRule="auto"/>
            </w:pPr>
            <w:r>
              <w:rPr>
                <w:rFonts w:ascii="Consolas" w:hAnsi="Consolas"/>
                <w:sz w:val="17"/>
              </w:rPr>
              <w:t xml:space="preserve">     |                              |                                 | 6. key valid &amp; unused?</w:t>
            </w:r>
          </w:p>
          <w:p>
            <w:pPr>
              <w:spacing w:after="0" w:line="240" w:lineRule="auto"/>
            </w:pPr>
            <w:r>
              <w:rPr>
                <w:rFonts w:ascii="Consolas" w:hAnsi="Consolas"/>
                <w:sz w:val="17"/>
              </w:rPr>
              <w:t xml:space="preserve">     |                              |                                 |    bind + mark consumed</w:t>
            </w:r>
          </w:p>
          <w:p>
            <w:pPr>
              <w:spacing w:after="0" w:line="240" w:lineRule="auto"/>
            </w:pPr>
            <w:r>
              <w:rPr>
                <w:rFonts w:ascii="Consolas" w:hAnsi="Consolas"/>
                <w:sz w:val="17"/>
              </w:rPr>
              <w:t xml:space="preserve">     |                              | 7. signed licence file          |    sign with private key</w:t>
            </w:r>
          </w:p>
          <w:p>
            <w:pPr>
              <w:spacing w:after="0" w:line="240" w:lineRule="auto"/>
            </w:pPr>
            <w:r>
              <w:rPr>
                <w:rFonts w:ascii="Consolas" w:hAnsi="Consolas"/>
                <w:sz w:val="17"/>
              </w:rPr>
              <w:t xml:space="preserve">     |                              |&lt;--------------------------------|</w:t>
            </w:r>
          </w:p>
          <w:p>
            <w:pPr>
              <w:spacing w:after="0" w:line="240" w:lineRule="auto"/>
            </w:pPr>
            <w:r>
              <w:rPr>
                <w:rFonts w:ascii="Consolas" w:hAnsi="Consolas"/>
                <w:sz w:val="17"/>
              </w:rPr>
              <w:t xml:space="preserve">     |                              |                                 |</w:t>
            </w:r>
          </w:p>
          <w:p>
            <w:pPr>
              <w:spacing w:after="0" w:line="240" w:lineRule="auto"/>
            </w:pPr>
            <w:r>
              <w:rPr>
                <w:rFonts w:ascii="Consolas" w:hAnsi="Consolas"/>
                <w:sz w:val="17"/>
              </w:rPr>
              <w:t xml:space="preserve">     |                              | 8. write licence.lic to disk    |</w:t>
            </w:r>
          </w:p>
          <w:p>
            <w:pPr>
              <w:spacing w:after="0" w:line="240" w:lineRule="auto"/>
            </w:pPr>
            <w:r>
              <w:rPr>
                <w:rFonts w:ascii="Consolas" w:hAnsi="Consolas"/>
                <w:sz w:val="17"/>
              </w:rPr>
              <w:t xml:space="preserve">     |                              | 9. verify offline, start service|</w:t>
            </w:r>
          </w:p>
          <w:p>
            <w:pPr>
              <w:spacing w:after="0" w:line="240" w:lineRule="auto"/>
            </w:pPr>
            <w:r>
              <w:rPr>
                <w:rFonts w:ascii="Consolas" w:hAnsi="Consolas"/>
                <w:sz w:val="17"/>
              </w:rPr>
              <w:t xml:space="preserve">    </w:t>
            </w:r>
          </w:p>
        </w:tc>
      </w:tr>
    </w:tbl>
    <w:p>
      <w:pPr>
        <w:spacing w:after="80"/>
      </w:pPr>
    </w:p>
    <w:p>
      <w:r>
        <w:rPr>
          <w:b w:val="0"/>
          <w:i w:val="0"/>
        </w:rPr>
        <w:t>After step 9 the edge box never needs to contact us again. Verification at every subsequent start is performed locally against the public key compiled into the software, which preserves the on-premises, works-without-internet promise made to the customer.</w:t>
      </w:r>
    </w:p>
    <w:p>
      <w:pPr>
        <w:pStyle w:val="Heading2"/>
      </w:pPr>
      <w:r>
        <w:t>5.3 Offline activation flow</w:t>
      </w:r>
    </w:p>
    <w:p>
      <w:r>
        <w:rPr>
          <w:b w:val="0"/>
          <w:i w:val="0"/>
        </w:rPr>
        <w:t>Society gates frequently have no usable internet connection. The same cryptography supports a manual path, which must be built at the same time as the online one rather than added later.</w:t>
      </w:r>
    </w:p>
    <w:p>
      <w:pPr>
        <w:pStyle w:val="ListNumber"/>
        <w:spacing w:after="60"/>
        <w:ind w:left="432"/>
      </w:pPr>
      <w:r>
        <w:t>The installer displays a short request code containing the machine fingerprint and the activation key.</w:t>
      </w:r>
    </w:p>
    <w:p>
      <w:pPr>
        <w:pStyle w:val="ListNumber"/>
        <w:spacing w:after="60"/>
        <w:ind w:left="432"/>
      </w:pPr>
      <w:r>
        <w:t>The distributor sends that code to us by email, phone or messaging.</w:t>
      </w:r>
    </w:p>
    <w:p>
      <w:pPr>
        <w:pStyle w:val="ListNumber"/>
        <w:spacing w:after="60"/>
        <w:ind w:left="432"/>
      </w:pPr>
      <w:r>
        <w:t>We enter it into the licence server, which marks the key consumed and returns a signed licence blob.</w:t>
      </w:r>
    </w:p>
    <w:p>
      <w:pPr>
        <w:pStyle w:val="ListNumber"/>
        <w:spacing w:after="60"/>
        <w:ind w:left="432"/>
      </w:pPr>
      <w:r>
        <w:t>The distributor pastes the blob into the installer, which verifies and stores it.</w:t>
      </w:r>
    </w:p>
    <w:p>
      <w:r>
        <w:rPr>
          <w:b w:val="0"/>
          <w:i/>
          <w:color w:val="5A6266"/>
        </w:rPr>
        <w:t>The security properties are identical — only the transport differs. The distributor still cannot activate a site without contacting us.</w:t>
      </w:r>
    </w:p>
    <w:p>
      <w:pPr>
        <w:pStyle w:val="Heading2"/>
      </w:pPr>
      <w:r>
        <w:t>5.4 Machine fingerprint</w:t>
      </w:r>
    </w:p>
    <w:p>
      <w:r>
        <w:rPr>
          <w:b w:val="0"/>
          <w:i w:val="0"/>
        </w:rPr>
        <w:t>The fingerprint must be stable enough not to break a working site, and specific enough that a cloned installation does not match. A single identifier fails one of those two tests, so three components are collected and a partial match is accepted.</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448"/>
            <w:shd w:val="clear" w:fill="0E5C66"/>
          </w:tcPr>
          <w:p>
            <w:r/>
            <w:r>
              <w:rPr>
                <w:b/>
                <w:color w:val="FFFFFF"/>
                <w:sz w:val="19"/>
              </w:rPr>
              <w:t>Component</w:t>
            </w:r>
          </w:p>
        </w:tc>
        <w:tc>
          <w:tcPr>
            <w:tcW w:type="dxa" w:w="2880"/>
            <w:shd w:val="clear" w:fill="0E5C66"/>
          </w:tcPr>
          <w:p>
            <w:r/>
            <w:r>
              <w:rPr>
                <w:b/>
                <w:color w:val="FFFFFF"/>
                <w:sz w:val="19"/>
              </w:rPr>
              <w:t>Windows source</w:t>
            </w:r>
          </w:p>
        </w:tc>
        <w:tc>
          <w:tcPr>
            <w:tcW w:type="dxa" w:w="2592"/>
            <w:shd w:val="clear" w:fill="0E5C66"/>
          </w:tcPr>
          <w:p>
            <w:r/>
            <w:r>
              <w:rPr>
                <w:b/>
                <w:color w:val="FFFFFF"/>
                <w:sz w:val="19"/>
              </w:rPr>
              <w:t>Linux source</w:t>
            </w:r>
          </w:p>
        </w:tc>
        <w:tc>
          <w:tcPr>
            <w:tcW w:type="dxa" w:w="1296"/>
            <w:shd w:val="clear" w:fill="0E5C66"/>
          </w:tcPr>
          <w:p>
            <w:r/>
            <w:r>
              <w:rPr>
                <w:b/>
                <w:color w:val="FFFFFF"/>
                <w:sz w:val="19"/>
              </w:rPr>
              <w:t>Stability</w:t>
            </w:r>
          </w:p>
        </w:tc>
      </w:tr>
      <w:tr>
        <w:tc>
          <w:tcPr>
            <w:tcW w:type="dxa" w:w="2448"/>
          </w:tcPr>
          <w:p>
            <w:pPr>
              <w:spacing w:after="40"/>
            </w:pPr>
            <w:r/>
            <w:r>
              <w:rPr>
                <w:sz w:val="19"/>
              </w:rPr>
              <w:t>Motherboard / system UUID</w:t>
            </w:r>
          </w:p>
        </w:tc>
        <w:tc>
          <w:tcPr>
            <w:tcW w:type="dxa" w:w="2880"/>
          </w:tcPr>
          <w:p>
            <w:pPr>
              <w:spacing w:after="40"/>
            </w:pPr>
            <w:r/>
            <w:r>
              <w:rPr>
                <w:sz w:val="19"/>
              </w:rPr>
              <w:t>Win32_ComputerSystemProduct.UUID</w:t>
            </w:r>
          </w:p>
        </w:tc>
        <w:tc>
          <w:tcPr>
            <w:tcW w:type="dxa" w:w="2592"/>
          </w:tcPr>
          <w:p>
            <w:pPr>
              <w:spacing w:after="40"/>
            </w:pPr>
            <w:r/>
            <w:r>
              <w:rPr>
                <w:sz w:val="19"/>
              </w:rPr>
              <w:t>/sys/class/dmi/id/product_uuid</w:t>
            </w:r>
          </w:p>
        </w:tc>
        <w:tc>
          <w:tcPr>
            <w:tcW w:type="dxa" w:w="1296"/>
          </w:tcPr>
          <w:p>
            <w:pPr>
              <w:spacing w:after="40"/>
            </w:pPr>
            <w:r/>
            <w:r>
              <w:rPr>
                <w:sz w:val="19"/>
              </w:rPr>
              <w:t>Very stable</w:t>
            </w:r>
          </w:p>
        </w:tc>
      </w:tr>
      <w:tr>
        <w:tc>
          <w:tcPr>
            <w:tcW w:type="dxa" w:w="2448"/>
          </w:tcPr>
          <w:p>
            <w:pPr>
              <w:spacing w:after="40"/>
            </w:pPr>
            <w:r/>
            <w:r>
              <w:rPr>
                <w:sz w:val="19"/>
              </w:rPr>
              <w:t>Primary MAC address</w:t>
            </w:r>
          </w:p>
        </w:tc>
        <w:tc>
          <w:tcPr>
            <w:tcW w:type="dxa" w:w="2880"/>
          </w:tcPr>
          <w:p>
            <w:pPr>
              <w:spacing w:after="40"/>
            </w:pPr>
            <w:r/>
            <w:r>
              <w:rPr>
                <w:sz w:val="19"/>
              </w:rPr>
              <w:t>First physical adapter</w:t>
            </w:r>
          </w:p>
        </w:tc>
        <w:tc>
          <w:tcPr>
            <w:tcW w:type="dxa" w:w="2592"/>
          </w:tcPr>
          <w:p>
            <w:pPr>
              <w:spacing w:after="40"/>
            </w:pPr>
            <w:r/>
            <w:r>
              <w:rPr>
                <w:sz w:val="19"/>
              </w:rPr>
              <w:t>First non-virtual interface</w:t>
            </w:r>
          </w:p>
        </w:tc>
        <w:tc>
          <w:tcPr>
            <w:tcW w:type="dxa" w:w="1296"/>
          </w:tcPr>
          <w:p>
            <w:pPr>
              <w:spacing w:after="40"/>
            </w:pPr>
            <w:r/>
            <w:r>
              <w:rPr>
                <w:sz w:val="19"/>
              </w:rPr>
              <w:t>Stable unless NIC replaced</w:t>
            </w:r>
          </w:p>
        </w:tc>
      </w:tr>
      <w:tr>
        <w:tc>
          <w:tcPr>
            <w:tcW w:type="dxa" w:w="2448"/>
          </w:tcPr>
          <w:p>
            <w:pPr>
              <w:spacing w:after="40"/>
            </w:pPr>
            <w:r/>
            <w:r>
              <w:rPr>
                <w:sz w:val="19"/>
              </w:rPr>
              <w:t>System disk serial</w:t>
            </w:r>
          </w:p>
        </w:tc>
        <w:tc>
          <w:tcPr>
            <w:tcW w:type="dxa" w:w="2880"/>
          </w:tcPr>
          <w:p>
            <w:pPr>
              <w:spacing w:after="40"/>
            </w:pPr>
            <w:r/>
            <w:r>
              <w:rPr>
                <w:sz w:val="19"/>
              </w:rPr>
              <w:t>Win32_DiskDrive.SerialNumber</w:t>
            </w:r>
          </w:p>
        </w:tc>
        <w:tc>
          <w:tcPr>
            <w:tcW w:type="dxa" w:w="2592"/>
          </w:tcPr>
          <w:p>
            <w:pPr>
              <w:spacing w:after="40"/>
            </w:pPr>
            <w:r/>
            <w:r>
              <w:rPr>
                <w:sz w:val="19"/>
              </w:rPr>
              <w:t>/dev/disk/by-id</w:t>
            </w:r>
          </w:p>
        </w:tc>
        <w:tc>
          <w:tcPr>
            <w:tcW w:type="dxa" w:w="1296"/>
          </w:tcPr>
          <w:p>
            <w:pPr>
              <w:spacing w:after="40"/>
            </w:pPr>
            <w:r/>
            <w:r>
              <w:rPr>
                <w:sz w:val="19"/>
              </w:rPr>
              <w:t>Stable unless disk replaced</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fill="EAF2F3"/>
          </w:tcPr>
          <w:p>
            <w:pPr>
              <w:spacing w:after="40"/>
            </w:pPr>
            <w:r/>
            <w:r>
              <w:rPr>
                <w:b/>
                <w:color w:val="0E5C66"/>
                <w:sz w:val="16"/>
              </w:rPr>
              <w:t>RULE: TWO OF THREE</w:t>
            </w:r>
          </w:p>
          <w:p>
            <w:pPr>
              <w:spacing w:after="0"/>
            </w:pPr>
            <w:r>
              <w:rPr>
                <w:sz w:val="19"/>
              </w:rPr>
              <w:t>Bind the licence to all three components but accept the machine as valid when at least two still match. A failed disk or a swapped network card must not take a working gate offline at two in the morning — and if it does, the resulting support call costs more than the licence.</w:t>
            </w:r>
          </w:p>
        </w:tc>
      </w:tr>
    </w:tbl>
    <w:p>
      <w:pPr>
        <w:spacing w:after="80"/>
      </w:pPr>
    </w:p>
    <w:p>
      <w:pPr>
        <w:pStyle w:val="Heading2"/>
      </w:pPr>
      <w:r>
        <w:t>5.5 Licence file contents</w:t>
      </w:r>
    </w:p>
    <w:p>
      <w:pPr>
        <w:spacing w:after="40"/>
      </w:pPr>
      <w:r>
        <w:rPr>
          <w:b/>
          <w:color w:val="5A6266"/>
          <w:sz w:val="16"/>
        </w:rPr>
        <w:t>LICENCE.LIC (ILLUSTRATIVE)</w:t>
      </w:r>
    </w:p>
    <w:tbl>
      <w:tblPr>
        <w:tblStyle w:val="TableGrid"/>
        <w:tblW w:type="auto" w:w="0"/>
        <w:tblLook w:firstColumn="1" w:firstRow="1" w:lastColumn="0" w:lastRow="0" w:noHBand="0" w:noVBand="1" w:val="04A0"/>
      </w:tblPr>
      <w:tblGrid>
        <w:gridCol w:w="9504"/>
      </w:tblGrid>
      <w:tr>
        <w:tc>
          <w:tcPr>
            <w:tcW w:type="dxa" w:w="9504"/>
            <w:shd w:val="clear" w:fill="F2F5F5"/>
          </w:tcPr>
          <w:p>
            <w:pPr>
              <w:spacing w:after="0" w:line="240" w:lineRule="auto"/>
            </w:pPr>
            <w:r/>
            <w:r>
              <w:rPr>
                <w:rFonts w:ascii="Consolas" w:hAnsi="Consolas"/>
                <w:sz w:val="17"/>
              </w:rPr>
              <w:t>{</w:t>
            </w:r>
          </w:p>
          <w:p>
            <w:pPr>
              <w:spacing w:after="0" w:line="240" w:lineRule="auto"/>
            </w:pPr>
            <w:r>
              <w:rPr>
                <w:rFonts w:ascii="Consolas" w:hAnsi="Consolas"/>
                <w:sz w:val="17"/>
              </w:rPr>
              <w:t xml:space="preserve">  "licence_id":     "LIC-2026-000417",</w:t>
            </w:r>
          </w:p>
          <w:p>
            <w:pPr>
              <w:spacing w:after="0" w:line="240" w:lineRule="auto"/>
            </w:pPr>
            <w:r>
              <w:rPr>
                <w:rFonts w:ascii="Consolas" w:hAnsi="Consolas"/>
                <w:sz w:val="17"/>
              </w:rPr>
              <w:t xml:space="preserve">  "customer":       "Green Valley Residency, Sector 62",</w:t>
            </w:r>
          </w:p>
          <w:p>
            <w:pPr>
              <w:spacing w:after="0" w:line="240" w:lineRule="auto"/>
            </w:pPr>
            <w:r>
              <w:rPr>
                <w:rFonts w:ascii="Consolas" w:hAnsi="Consolas"/>
                <w:sz w:val="17"/>
              </w:rPr>
              <w:t xml:space="preserve">  "distributor":    "Rising IT Solutions",</w:t>
            </w:r>
          </w:p>
          <w:p>
            <w:pPr>
              <w:spacing w:after="0" w:line="240" w:lineRule="auto"/>
            </w:pPr>
            <w:r>
              <w:rPr>
                <w:rFonts w:ascii="Consolas" w:hAnsi="Consolas"/>
                <w:sz w:val="17"/>
              </w:rPr>
              <w:t xml:space="preserve">  "issued_at":      "2026-09-01T10:22:00Z",</w:t>
            </w:r>
          </w:p>
          <w:p>
            <w:pPr>
              <w:spacing w:after="0" w:line="240" w:lineRule="auto"/>
            </w:pPr>
            <w:r>
              <w:rPr>
                <w:rFonts w:ascii="Consolas" w:hAnsi="Consolas"/>
                <w:sz w:val="17"/>
              </w:rPr>
              <w:t xml:space="preserve">  "valid_until":    "2027-09-01T00:00:00Z",     // omit for perpetual</w:t>
            </w:r>
          </w:p>
          <w:p>
            <w:pPr>
              <w:spacing w:after="0" w:line="240" w:lineRule="auto"/>
            </w:pPr>
            <w:r>
              <w:rPr>
                <w:rFonts w:ascii="Consolas" w:hAnsi="Consolas"/>
                <w:sz w:val="17"/>
              </w:rPr>
              <w:t xml:space="preserve">  "max_cameras":    8,</w:t>
            </w:r>
          </w:p>
          <w:p>
            <w:pPr>
              <w:spacing w:after="0" w:line="240" w:lineRule="auto"/>
            </w:pPr>
            <w:r>
              <w:rPr>
                <w:rFonts w:ascii="Consolas" w:hAnsi="Consolas"/>
                <w:sz w:val="17"/>
              </w:rPr>
              <w:t xml:space="preserve">  "features":       ["events", "reports", "alerts", "smtp"],</w:t>
            </w:r>
          </w:p>
          <w:p>
            <w:pPr>
              <w:spacing w:after="0" w:line="240" w:lineRule="auto"/>
            </w:pPr>
            <w:r>
              <w:rPr>
                <w:rFonts w:ascii="Consolas" w:hAnsi="Consolas"/>
                <w:sz w:val="17"/>
              </w:rPr>
              <w:t xml:space="preserve">  "fingerprint":    "sha256:9f2c...e41b",       // the bound machine</w:t>
            </w:r>
          </w:p>
          <w:p>
            <w:pPr>
              <w:spacing w:after="0" w:line="240" w:lineRule="auto"/>
            </w:pPr>
            <w:r>
              <w:rPr>
                <w:rFonts w:ascii="Consolas" w:hAnsi="Consolas"/>
                <w:sz w:val="17"/>
              </w:rPr>
              <w:t xml:space="preserve">  "grace_days":     14,</w:t>
            </w:r>
          </w:p>
          <w:p>
            <w:pPr>
              <w:spacing w:after="0" w:line="240" w:lineRule="auto"/>
            </w:pPr>
            <w:r>
              <w:rPr>
                <w:rFonts w:ascii="Consolas" w:hAnsi="Consolas"/>
                <w:sz w:val="17"/>
              </w:rPr>
              <w:t xml:space="preserve">  "signature":      "ed25519:8a41...c7d0"        // covers every field above</w:t>
            </w:r>
          </w:p>
          <w:p>
            <w:pPr>
              <w:spacing w:after="0" w:line="240" w:lineRule="auto"/>
            </w:pPr>
            <w:r>
              <w:rPr>
                <w:rFonts w:ascii="Consolas" w:hAnsi="Consolas"/>
                <w:sz w:val="17"/>
              </w:rPr>
              <w:t>}</w:t>
            </w:r>
          </w:p>
          <w:p>
            <w:pPr>
              <w:spacing w:after="0" w:line="240" w:lineRule="auto"/>
            </w:pPr>
            <w:r>
              <w:rPr>
                <w:rFonts w:ascii="Consolas" w:hAnsi="Consolas"/>
                <w:sz w:val="17"/>
              </w:rPr>
              <w:t xml:space="preserve">    </w:t>
            </w:r>
          </w:p>
        </w:tc>
      </w:tr>
    </w:tbl>
    <w:p>
      <w:pPr>
        <w:spacing w:after="80"/>
      </w:pPr>
    </w:p>
    <w:p>
      <w:r>
        <w:rPr>
          <w:b w:val="0"/>
          <w:i w:val="0"/>
        </w:rPr>
        <w:t>The signature is produced with an Ed25519 private key held only on the licence server. The matching public key is embedded in the shipped binary. Because verification is asymmetric, possession of the shipped software does not allow anyone to forge a licence — they would need the private key, which is never distributed.</w:t>
      </w:r>
    </w:p>
    <w:p>
      <w:pPr>
        <w:pStyle w:val="Heading2"/>
      </w:pPr>
      <w:r>
        <w:t>5.6 Enforcement points</w:t>
      </w:r>
    </w:p>
    <w:p>
      <w:r>
        <w:rPr>
          <w:b w:val="0"/>
          <w:i w:val="0"/>
        </w:rPr>
        <w:t>The verifier runs at a small number of well-defined places rather than being scattered through the code:</w:t>
      </w:r>
    </w:p>
    <w:tbl>
      <w:tblPr>
        <w:tblStyle w:val="TableGrid"/>
        <w:tblW w:type="auto" w:w="0"/>
        <w:jc w:val="center"/>
        <w:tblLook w:firstColumn="1" w:firstRow="1" w:lastColumn="0" w:lastRow="0" w:noHBand="0" w:noVBand="1" w:val="04A0"/>
      </w:tblPr>
      <w:tblGrid>
        <w:gridCol w:w="3168"/>
        <w:gridCol w:w="3168"/>
        <w:gridCol w:w="3168"/>
      </w:tblGrid>
      <w:tr>
        <w:tc>
          <w:tcPr>
            <w:tcW w:type="dxa" w:w="2736"/>
            <w:shd w:val="clear" w:fill="0E5C66"/>
          </w:tcPr>
          <w:p>
            <w:r/>
            <w:r>
              <w:rPr>
                <w:b/>
                <w:color w:val="FFFFFF"/>
                <w:sz w:val="19"/>
              </w:rPr>
              <w:t>Where</w:t>
            </w:r>
          </w:p>
        </w:tc>
        <w:tc>
          <w:tcPr>
            <w:tcW w:type="dxa" w:w="3024"/>
            <w:shd w:val="clear" w:fill="0E5C66"/>
          </w:tcPr>
          <w:p>
            <w:r/>
            <w:r>
              <w:rPr>
                <w:b/>
                <w:color w:val="FFFFFF"/>
                <w:sz w:val="19"/>
              </w:rPr>
              <w:t>Check</w:t>
            </w:r>
          </w:p>
        </w:tc>
        <w:tc>
          <w:tcPr>
            <w:tcW w:type="dxa" w:w="3456"/>
            <w:shd w:val="clear" w:fill="0E5C66"/>
          </w:tcPr>
          <w:p>
            <w:r/>
            <w:r>
              <w:rPr>
                <w:b/>
                <w:color w:val="FFFFFF"/>
                <w:sz w:val="19"/>
              </w:rPr>
              <w:t>On failure</w:t>
            </w:r>
          </w:p>
        </w:tc>
      </w:tr>
      <w:tr>
        <w:tc>
          <w:tcPr>
            <w:tcW w:type="dxa" w:w="2736"/>
          </w:tcPr>
          <w:p>
            <w:pPr>
              <w:spacing w:after="40"/>
            </w:pPr>
            <w:r/>
            <w:r>
              <w:rPr>
                <w:sz w:val="19"/>
              </w:rPr>
              <w:t>API service start</w:t>
            </w:r>
          </w:p>
        </w:tc>
        <w:tc>
          <w:tcPr>
            <w:tcW w:type="dxa" w:w="3024"/>
          </w:tcPr>
          <w:p>
            <w:pPr>
              <w:spacing w:after="40"/>
            </w:pPr>
            <w:r/>
            <w:r>
              <w:rPr>
                <w:sz w:val="19"/>
              </w:rPr>
              <w:t>Signature, fingerprint, expiry</w:t>
            </w:r>
          </w:p>
        </w:tc>
        <w:tc>
          <w:tcPr>
            <w:tcW w:type="dxa" w:w="3456"/>
          </w:tcPr>
          <w:p>
            <w:pPr>
              <w:spacing w:after="40"/>
            </w:pPr>
            <w:r/>
            <w:r>
              <w:rPr>
                <w:sz w:val="19"/>
              </w:rPr>
              <w:t>Start in restricted mode; show licence banner in UI</w:t>
            </w:r>
          </w:p>
        </w:tc>
      </w:tr>
      <w:tr>
        <w:tc>
          <w:tcPr>
            <w:tcW w:type="dxa" w:w="2736"/>
          </w:tcPr>
          <w:p>
            <w:pPr>
              <w:spacing w:after="40"/>
            </w:pPr>
            <w:r/>
            <w:r>
              <w:rPr>
                <w:sz w:val="19"/>
              </w:rPr>
              <w:t>Camera worker supervisor start</w:t>
            </w:r>
          </w:p>
        </w:tc>
        <w:tc>
          <w:tcPr>
            <w:tcW w:type="dxa" w:w="3024"/>
          </w:tcPr>
          <w:p>
            <w:pPr>
              <w:spacing w:after="40"/>
            </w:pPr>
            <w:r/>
            <w:r>
              <w:rPr>
                <w:sz w:val="19"/>
              </w:rPr>
              <w:t>Same</w:t>
            </w:r>
          </w:p>
        </w:tc>
        <w:tc>
          <w:tcPr>
            <w:tcW w:type="dxa" w:w="3456"/>
          </w:tcPr>
          <w:p>
            <w:pPr>
              <w:spacing w:after="40"/>
            </w:pPr>
            <w:r/>
            <w:r>
              <w:rPr>
                <w:sz w:val="19"/>
              </w:rPr>
              <w:t>Refuse to start workers beyond the entitlement</w:t>
            </w:r>
          </w:p>
        </w:tc>
      </w:tr>
      <w:tr>
        <w:tc>
          <w:tcPr>
            <w:tcW w:type="dxa" w:w="2736"/>
          </w:tcPr>
          <w:p>
            <w:pPr>
              <w:spacing w:after="40"/>
            </w:pPr>
            <w:r/>
            <w:r>
              <w:rPr>
                <w:sz w:val="19"/>
              </w:rPr>
              <w:t>Camera creation / enable</w:t>
            </w:r>
          </w:p>
        </w:tc>
        <w:tc>
          <w:tcPr>
            <w:tcW w:type="dxa" w:w="3024"/>
          </w:tcPr>
          <w:p>
            <w:pPr>
              <w:spacing w:after="40"/>
            </w:pPr>
            <w:r/>
            <w:r>
              <w:rPr>
                <w:sz w:val="19"/>
              </w:rPr>
              <w:t>Active camera count vs max_cameras</w:t>
            </w:r>
          </w:p>
        </w:tc>
        <w:tc>
          <w:tcPr>
            <w:tcW w:type="dxa" w:w="3456"/>
          </w:tcPr>
          <w:p>
            <w:pPr>
              <w:spacing w:after="40"/>
            </w:pPr>
            <w:r/>
            <w:r>
              <w:rPr>
                <w:sz w:val="19"/>
              </w:rPr>
              <w:t>Reject with a clear message naming the limit</w:t>
            </w:r>
          </w:p>
        </w:tc>
      </w:tr>
      <w:tr>
        <w:tc>
          <w:tcPr>
            <w:tcW w:type="dxa" w:w="2736"/>
          </w:tcPr>
          <w:p>
            <w:pPr>
              <w:spacing w:after="40"/>
            </w:pPr>
            <w:r/>
            <w:r>
              <w:rPr>
                <w:sz w:val="19"/>
              </w:rPr>
              <w:t>Daily scheduled check</w:t>
            </w:r>
          </w:p>
        </w:tc>
        <w:tc>
          <w:tcPr>
            <w:tcW w:type="dxa" w:w="3024"/>
          </w:tcPr>
          <w:p>
            <w:pPr>
              <w:spacing w:after="40"/>
            </w:pPr>
            <w:r/>
            <w:r>
              <w:rPr>
                <w:sz w:val="19"/>
              </w:rPr>
              <w:t>Expiry, clock sanity, grace state</w:t>
            </w:r>
          </w:p>
        </w:tc>
        <w:tc>
          <w:tcPr>
            <w:tcW w:type="dxa" w:w="3456"/>
          </w:tcPr>
          <w:p>
            <w:pPr>
              <w:spacing w:after="40"/>
            </w:pPr>
            <w:r/>
            <w:r>
              <w:rPr>
                <w:sz w:val="19"/>
              </w:rPr>
              <w:t>Raise an in-app alert ahead of expiry</w:t>
            </w:r>
          </w:p>
        </w:tc>
      </w:tr>
    </w:tbl>
    <w:p>
      <w:pPr>
        <w:spacing w:after="80"/>
      </w:pPr>
    </w:p>
    <w:p>
      <w:r>
        <w:rPr>
          <w:b w:val="0"/>
          <w:i/>
          <w:color w:val="5A6266"/>
        </w:rPr>
        <w:t>Concentrating the checks makes them easier to audit and to test, at the cost of making them easier to find. That trade is accepted deliberately: see 'Honest limitations'.</w:t>
      </w:r>
    </w:p>
    <w:p>
      <w:pPr>
        <w:pStyle w:val="Heading2"/>
      </w:pPr>
      <w:r>
        <w:t>5.7 Clock tampering and expiry</w:t>
      </w:r>
    </w:p>
    <w:p>
      <w:r>
        <w:rPr>
          <w:b w:val="0"/>
          <w:i w:val="0"/>
        </w:rPr>
        <w:t>Subscription expiry checked only against the system clock is defeated by setting the clock back. Two inexpensive defences are applied together:</w:t>
      </w:r>
    </w:p>
    <w:p>
      <w:pPr>
        <w:pStyle w:val="ListBullet"/>
        <w:spacing w:after="60"/>
        <w:ind w:left="360"/>
      </w:pPr>
      <w:r>
        <w:t>A monotonic high-water mark — the latest timestamp ever observed — is stored in the database and in the licence state file. If system time moves materially behind that mark, the software treats the licence as suspect and enters the grace state rather than trusting the clock.</w:t>
      </w:r>
    </w:p>
    <w:p>
      <w:pPr>
        <w:pStyle w:val="ListBullet"/>
        <w:spacing w:after="60"/>
        <w:ind w:left="360"/>
      </w:pPr>
      <w:r>
        <w:t>Event records already carry timestamps. A gap or reversal in the event log is a strong, auditable signal of tampering and is surfaced to us during support.</w:t>
      </w:r>
    </w:p>
    <w:p>
      <w:pPr>
        <w:pStyle w:val="Heading2"/>
      </w:pPr>
      <w:r>
        <w:t>5.8 Failure and grace behaviour</w:t>
      </w:r>
    </w:p>
    <w:p>
      <w:r>
        <w:rPr>
          <w:b w:val="0"/>
          <w:i w:val="0"/>
        </w:rPr>
        <w:t>What the system does with an invalid licence is a product decision, not a technical one, and must be made explicitly. The recommendation for a gate system:</w:t>
      </w:r>
    </w:p>
    <w:tbl>
      <w:tblPr>
        <w:tblStyle w:val="TableGrid"/>
        <w:tblW w:type="auto" w:w="0"/>
        <w:jc w:val="center"/>
        <w:tblLook w:firstColumn="1" w:firstRow="1" w:lastColumn="0" w:lastRow="0" w:noHBand="0" w:noVBand="1" w:val="04A0"/>
      </w:tblPr>
      <w:tblGrid>
        <w:gridCol w:w="4752"/>
        <w:gridCol w:w="4752"/>
      </w:tblGrid>
      <w:tr>
        <w:tc>
          <w:tcPr>
            <w:tcW w:type="dxa" w:w="2736"/>
            <w:shd w:val="clear" w:fill="0E5C66"/>
          </w:tcPr>
          <w:p>
            <w:r/>
            <w:r>
              <w:rPr>
                <w:b/>
                <w:color w:val="FFFFFF"/>
                <w:sz w:val="19"/>
              </w:rPr>
              <w:t>State</w:t>
            </w:r>
          </w:p>
        </w:tc>
        <w:tc>
          <w:tcPr>
            <w:tcW w:type="dxa" w:w="6480"/>
            <w:shd w:val="clear" w:fill="0E5C66"/>
          </w:tcPr>
          <w:p>
            <w:r/>
            <w:r>
              <w:rPr>
                <w:b/>
                <w:color w:val="FFFFFF"/>
                <w:sz w:val="19"/>
              </w:rPr>
              <w:t>Behaviour</w:t>
            </w:r>
          </w:p>
        </w:tc>
      </w:tr>
      <w:tr>
        <w:tc>
          <w:tcPr>
            <w:tcW w:type="dxa" w:w="2736"/>
          </w:tcPr>
          <w:p>
            <w:pPr>
              <w:spacing w:after="40"/>
            </w:pPr>
            <w:r/>
            <w:r>
              <w:rPr>
                <w:sz w:val="19"/>
              </w:rPr>
              <w:t>Valid</w:t>
            </w:r>
          </w:p>
        </w:tc>
        <w:tc>
          <w:tcPr>
            <w:tcW w:type="dxa" w:w="6480"/>
          </w:tcPr>
          <w:p>
            <w:pPr>
              <w:spacing w:after="40"/>
            </w:pPr>
            <w:r/>
            <w:r>
              <w:rPr>
                <w:sz w:val="19"/>
              </w:rPr>
              <w:t>Full operation.</w:t>
            </w:r>
          </w:p>
        </w:tc>
      </w:tr>
      <w:tr>
        <w:tc>
          <w:tcPr>
            <w:tcW w:type="dxa" w:w="2736"/>
          </w:tcPr>
          <w:p>
            <w:pPr>
              <w:spacing w:after="40"/>
            </w:pPr>
            <w:r/>
            <w:r>
              <w:rPr>
                <w:sz w:val="19"/>
              </w:rPr>
              <w:t>Expiring within 30 days</w:t>
            </w:r>
          </w:p>
        </w:tc>
        <w:tc>
          <w:tcPr>
            <w:tcW w:type="dxa" w:w="6480"/>
          </w:tcPr>
          <w:p>
            <w:pPr>
              <w:spacing w:after="40"/>
            </w:pPr>
            <w:r/>
            <w:r>
              <w:rPr>
                <w:sz w:val="19"/>
              </w:rPr>
              <w:t>Full operation; persistent banner in the UI and a daily alert.</w:t>
            </w:r>
          </w:p>
        </w:tc>
      </w:tr>
      <w:tr>
        <w:tc>
          <w:tcPr>
            <w:tcW w:type="dxa" w:w="2736"/>
          </w:tcPr>
          <w:p>
            <w:pPr>
              <w:spacing w:after="40"/>
            </w:pPr>
            <w:r/>
            <w:r>
              <w:rPr>
                <w:sz w:val="19"/>
              </w:rPr>
              <w:t>Expired, inside grace period</w:t>
            </w:r>
          </w:p>
        </w:tc>
        <w:tc>
          <w:tcPr>
            <w:tcW w:type="dxa" w:w="6480"/>
          </w:tcPr>
          <w:p>
            <w:pPr>
              <w:spacing w:after="40"/>
            </w:pPr>
            <w:r/>
            <w:r>
              <w:rPr>
                <w:sz w:val="19"/>
              </w:rPr>
              <w:t>Full operation; prominent warning. Recognition must not stop silently.</w:t>
            </w:r>
          </w:p>
        </w:tc>
      </w:tr>
      <w:tr>
        <w:tc>
          <w:tcPr>
            <w:tcW w:type="dxa" w:w="2736"/>
          </w:tcPr>
          <w:p>
            <w:pPr>
              <w:spacing w:after="40"/>
            </w:pPr>
            <w:r/>
            <w:r>
              <w:rPr>
                <w:sz w:val="19"/>
              </w:rPr>
              <w:t>Expired, past grace period</w:t>
            </w:r>
          </w:p>
        </w:tc>
        <w:tc>
          <w:tcPr>
            <w:tcW w:type="dxa" w:w="6480"/>
          </w:tcPr>
          <w:p>
            <w:pPr>
              <w:spacing w:after="40"/>
            </w:pPr>
            <w:r/>
            <w:r>
              <w:rPr>
                <w:sz w:val="19"/>
              </w:rPr>
              <w:t>Recognition and event recording continue; reports, exports and new camera creation are disabled. Existing data remains fully accessible.</w:t>
            </w:r>
          </w:p>
        </w:tc>
      </w:tr>
      <w:tr>
        <w:tc>
          <w:tcPr>
            <w:tcW w:type="dxa" w:w="2736"/>
          </w:tcPr>
          <w:p>
            <w:pPr>
              <w:spacing w:after="40"/>
            </w:pPr>
            <w:r/>
            <w:r>
              <w:rPr>
                <w:sz w:val="19"/>
              </w:rPr>
              <w:t>Signature invalid or fingerprint mismatch</w:t>
            </w:r>
          </w:p>
        </w:tc>
        <w:tc>
          <w:tcPr>
            <w:tcW w:type="dxa" w:w="6480"/>
          </w:tcPr>
          <w:p>
            <w:pPr>
              <w:spacing w:after="40"/>
            </w:pPr>
            <w:r/>
            <w:r>
              <w:rPr>
                <w:sz w:val="19"/>
              </w:rPr>
              <w:t>Refuse to start the workers; API starts in a licence-only mode so the site can be diagnosed and re-activated remotely.</w:t>
            </w:r>
          </w:p>
        </w:tc>
      </w:tr>
    </w:tbl>
    <w:p>
      <w:pPr>
        <w:spacing w:after="80"/>
      </w:pPr>
    </w:p>
    <w:tbl>
      <w:tblPr>
        <w:tblStyle w:val="TableGrid"/>
        <w:tblW w:type="auto" w:w="0"/>
        <w:tblLook w:firstColumn="1" w:firstRow="1" w:lastColumn="0" w:lastRow="0" w:noHBand="0" w:noVBand="1" w:val="04A0"/>
      </w:tblPr>
      <w:tblGrid>
        <w:gridCol w:w="9504"/>
      </w:tblGrid>
      <w:tr>
        <w:tc>
          <w:tcPr>
            <w:tcW w:type="dxa" w:w="9504"/>
            <w:shd w:val="clear" w:fill="F7EFE4"/>
          </w:tcPr>
          <w:p>
            <w:pPr>
              <w:spacing w:after="40"/>
            </w:pPr>
            <w:r/>
            <w:r>
              <w:rPr>
                <w:b/>
                <w:color w:val="8A4B08"/>
                <w:sz w:val="16"/>
              </w:rPr>
              <w:t>NEVER FAIL DANGEROUSLY</w:t>
            </w:r>
          </w:p>
          <w:p>
            <w:pPr>
              <w:spacing w:after="0"/>
            </w:pPr>
            <w:r>
              <w:rPr>
                <w:sz w:val="19"/>
              </w:rPr>
              <w:t>A licence problem must never leave a gate in a state that is worse than having no system at all — for example blocking a barrier, or stopping the event log without telling anyone. Degrade features, keep the record.</w:t>
            </w:r>
          </w:p>
        </w:tc>
      </w:tr>
    </w:tbl>
    <w:p>
      <w:pPr>
        <w:spacing w:after="80"/>
      </w:pPr>
    </w:p>
    <w:p>
      <w:pPr>
        <w:pStyle w:val="Heading1"/>
      </w:pPr>
      <w:r>
        <w:t>6. Protecting the shipped code</w:t>
      </w:r>
    </w:p>
    <w:p>
      <w:r>
        <w:rPr>
          <w:b w:val="0"/>
          <w:i w:val="0"/>
        </w:rPr>
        <w:t>The application is written in Python. Python is distributed as source or as bytecode, and both are readable — bytecode can be decompiled to close-to-original source with freely available tools. Packaging must therefore be treated as a series of layers, each raising the cost of inspection, rather than as a single lock.</w:t>
      </w:r>
    </w:p>
    <w:p>
      <w:pPr>
        <w:pStyle w:val="Heading2"/>
      </w:pPr>
      <w:r>
        <w:t>6.1 What each layer actually buys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160"/>
            <w:shd w:val="clear" w:fill="0E5C66"/>
          </w:tcPr>
          <w:p>
            <w:r/>
            <w:r>
              <w:rPr>
                <w:b/>
                <w:color w:val="FFFFFF"/>
                <w:sz w:val="19"/>
              </w:rPr>
              <w:t>Layer</w:t>
            </w:r>
          </w:p>
        </w:tc>
        <w:tc>
          <w:tcPr>
            <w:tcW w:type="dxa" w:w="3024"/>
            <w:shd w:val="clear" w:fill="0E5C66"/>
          </w:tcPr>
          <w:p>
            <w:r/>
            <w:r>
              <w:rPr>
                <w:b/>
                <w:color w:val="FFFFFF"/>
                <w:sz w:val="19"/>
              </w:rPr>
              <w:t>What it does</w:t>
            </w:r>
          </w:p>
        </w:tc>
        <w:tc>
          <w:tcPr>
            <w:tcW w:type="dxa" w:w="2304"/>
            <w:shd w:val="clear" w:fill="0E5C66"/>
          </w:tcPr>
          <w:p>
            <w:r/>
            <w:r>
              <w:rPr>
                <w:b/>
                <w:color w:val="FFFFFF"/>
                <w:sz w:val="19"/>
              </w:rPr>
              <w:t>Defeated by</w:t>
            </w:r>
          </w:p>
        </w:tc>
        <w:tc>
          <w:tcPr>
            <w:tcW w:type="dxa" w:w="1728"/>
            <w:shd w:val="clear" w:fill="0E5C66"/>
          </w:tcPr>
          <w:p>
            <w:r/>
            <w:r>
              <w:rPr>
                <w:b/>
                <w:color w:val="FFFFFF"/>
                <w:sz w:val="19"/>
              </w:rPr>
              <w:t>Recommended</w:t>
            </w:r>
          </w:p>
        </w:tc>
      </w:tr>
      <w:tr>
        <w:tc>
          <w:tcPr>
            <w:tcW w:type="dxa" w:w="2160"/>
          </w:tcPr>
          <w:p>
            <w:pPr>
              <w:spacing w:after="40"/>
            </w:pPr>
            <w:r/>
            <w:r>
              <w:rPr>
                <w:sz w:val="19"/>
              </w:rPr>
              <w:t>Ship .py source</w:t>
            </w:r>
          </w:p>
        </w:tc>
        <w:tc>
          <w:tcPr>
            <w:tcW w:type="dxa" w:w="3024"/>
          </w:tcPr>
          <w:p>
            <w:pPr>
              <w:spacing w:after="40"/>
            </w:pPr>
            <w:r/>
            <w:r>
              <w:rPr>
                <w:sz w:val="19"/>
              </w:rPr>
              <w:t>Nothing</w:t>
            </w:r>
          </w:p>
        </w:tc>
        <w:tc>
          <w:tcPr>
            <w:tcW w:type="dxa" w:w="2304"/>
          </w:tcPr>
          <w:p>
            <w:pPr>
              <w:spacing w:after="40"/>
            </w:pPr>
            <w:r/>
            <w:r>
              <w:rPr>
                <w:sz w:val="19"/>
              </w:rPr>
              <w:t>Opening a text editor</w:t>
            </w:r>
          </w:p>
        </w:tc>
        <w:tc>
          <w:tcPr>
            <w:tcW w:type="dxa" w:w="1728"/>
          </w:tcPr>
          <w:p>
            <w:pPr>
              <w:spacing w:after="40"/>
            </w:pPr>
            <w:r/>
            <w:r>
              <w:rPr>
                <w:sz w:val="19"/>
              </w:rPr>
              <w:t>No</w:t>
            </w:r>
          </w:p>
        </w:tc>
      </w:tr>
      <w:tr>
        <w:tc>
          <w:tcPr>
            <w:tcW w:type="dxa" w:w="2160"/>
          </w:tcPr>
          <w:p>
            <w:pPr>
              <w:spacing w:after="40"/>
            </w:pPr>
            <w:r/>
            <w:r>
              <w:rPr>
                <w:sz w:val="19"/>
              </w:rPr>
              <w:t>Ship .pyc bytecode only</w:t>
            </w:r>
          </w:p>
        </w:tc>
        <w:tc>
          <w:tcPr>
            <w:tcW w:type="dxa" w:w="3024"/>
          </w:tcPr>
          <w:p>
            <w:pPr>
              <w:spacing w:after="40"/>
            </w:pPr>
            <w:r/>
            <w:r>
              <w:rPr>
                <w:sz w:val="19"/>
              </w:rPr>
              <w:t>Removes comments and names slightly</w:t>
            </w:r>
          </w:p>
        </w:tc>
        <w:tc>
          <w:tcPr>
            <w:tcW w:type="dxa" w:w="2304"/>
          </w:tcPr>
          <w:p>
            <w:pPr>
              <w:spacing w:after="40"/>
            </w:pPr>
            <w:r/>
            <w:r>
              <w:rPr>
                <w:sz w:val="19"/>
              </w:rPr>
              <w:t>A decompiler, in seconds</w:t>
            </w:r>
          </w:p>
        </w:tc>
        <w:tc>
          <w:tcPr>
            <w:tcW w:type="dxa" w:w="1728"/>
          </w:tcPr>
          <w:p>
            <w:pPr>
              <w:spacing w:after="40"/>
            </w:pPr>
            <w:r/>
            <w:r>
              <w:rPr>
                <w:sz w:val="19"/>
              </w:rPr>
              <w:t>No — false comfort</w:t>
            </w:r>
          </w:p>
        </w:tc>
      </w:tr>
      <w:tr>
        <w:tc>
          <w:tcPr>
            <w:tcW w:type="dxa" w:w="2160"/>
          </w:tcPr>
          <w:p>
            <w:pPr>
              <w:spacing w:after="40"/>
            </w:pPr>
            <w:r/>
            <w:r>
              <w:rPr>
                <w:sz w:val="19"/>
              </w:rPr>
              <w:t>PyInstaller / one-folder build</w:t>
            </w:r>
          </w:p>
        </w:tc>
        <w:tc>
          <w:tcPr>
            <w:tcW w:type="dxa" w:w="3024"/>
          </w:tcPr>
          <w:p>
            <w:pPr>
              <w:spacing w:after="40"/>
            </w:pPr>
            <w:r/>
            <w:r>
              <w:rPr>
                <w:sz w:val="19"/>
              </w:rPr>
              <w:t>Bundles interpreter and dependencies; no Python install needed on site; source not casually visible</w:t>
            </w:r>
          </w:p>
        </w:tc>
        <w:tc>
          <w:tcPr>
            <w:tcW w:type="dxa" w:w="2304"/>
          </w:tcPr>
          <w:p>
            <w:pPr>
              <w:spacing w:after="40"/>
            </w:pPr>
            <w:r/>
            <w:r>
              <w:rPr>
                <w:sz w:val="19"/>
              </w:rPr>
              <w:t>Extraction tools, then decompilation</w:t>
            </w:r>
          </w:p>
        </w:tc>
        <w:tc>
          <w:tcPr>
            <w:tcW w:type="dxa" w:w="1728"/>
          </w:tcPr>
          <w:p>
            <w:pPr>
              <w:spacing w:after="40"/>
            </w:pPr>
            <w:r/>
            <w:r>
              <w:rPr>
                <w:sz w:val="19"/>
              </w:rPr>
              <w:t>Yes — baseline</w:t>
            </w:r>
          </w:p>
        </w:tc>
      </w:tr>
      <w:tr>
        <w:tc>
          <w:tcPr>
            <w:tcW w:type="dxa" w:w="2160"/>
          </w:tcPr>
          <w:p>
            <w:pPr>
              <w:spacing w:after="40"/>
            </w:pPr>
            <w:r/>
            <w:r>
              <w:rPr>
                <w:sz w:val="19"/>
              </w:rPr>
              <w:t>Cython compilation of selected modules</w:t>
            </w:r>
          </w:p>
        </w:tc>
        <w:tc>
          <w:tcPr>
            <w:tcW w:type="dxa" w:w="3024"/>
          </w:tcPr>
          <w:p>
            <w:pPr>
              <w:spacing w:after="40"/>
            </w:pPr>
            <w:r/>
            <w:r>
              <w:rPr>
                <w:sz w:val="19"/>
              </w:rPr>
              <w:t>Converts chosen Python modules to native machine code in a .pyd/.so; genuinely not decompilable to source</w:t>
            </w:r>
          </w:p>
        </w:tc>
        <w:tc>
          <w:tcPr>
            <w:tcW w:type="dxa" w:w="2304"/>
          </w:tcPr>
          <w:p>
            <w:pPr>
              <w:spacing w:after="40"/>
            </w:pPr>
            <w:r/>
            <w:r>
              <w:rPr>
                <w:sz w:val="19"/>
              </w:rPr>
              <w:t>Disassembly and patching of the binary</w:t>
            </w:r>
          </w:p>
        </w:tc>
        <w:tc>
          <w:tcPr>
            <w:tcW w:type="dxa" w:w="1728"/>
          </w:tcPr>
          <w:p>
            <w:pPr>
              <w:spacing w:after="40"/>
            </w:pPr>
            <w:r/>
            <w:r>
              <w:rPr>
                <w:sz w:val="19"/>
              </w:rPr>
              <w:t>Yes — for licence and core logic</w:t>
            </w:r>
          </w:p>
        </w:tc>
      </w:tr>
      <w:tr>
        <w:tc>
          <w:tcPr>
            <w:tcW w:type="dxa" w:w="2160"/>
          </w:tcPr>
          <w:p>
            <w:pPr>
              <w:spacing w:after="40"/>
            </w:pPr>
            <w:r/>
            <w:r>
              <w:rPr>
                <w:sz w:val="19"/>
              </w:rPr>
              <w:t>Bytecode obfuscation (e.g. PyArmor)</w:t>
            </w:r>
          </w:p>
        </w:tc>
        <w:tc>
          <w:tcPr>
            <w:tcW w:type="dxa" w:w="3024"/>
          </w:tcPr>
          <w:p>
            <w:pPr>
              <w:spacing w:after="40"/>
            </w:pPr>
            <w:r/>
            <w:r>
              <w:rPr>
                <w:sz w:val="19"/>
              </w:rPr>
              <w:t>Encrypts and obfuscates remaining modules</w:t>
            </w:r>
          </w:p>
        </w:tc>
        <w:tc>
          <w:tcPr>
            <w:tcW w:type="dxa" w:w="2304"/>
          </w:tcPr>
          <w:p>
            <w:pPr>
              <w:spacing w:after="40"/>
            </w:pPr>
            <w:r/>
            <w:r>
              <w:rPr>
                <w:sz w:val="19"/>
              </w:rPr>
              <w:t>Determined runtime analysis</w:t>
            </w:r>
          </w:p>
        </w:tc>
        <w:tc>
          <w:tcPr>
            <w:tcW w:type="dxa" w:w="1728"/>
          </w:tcPr>
          <w:p>
            <w:pPr>
              <w:spacing w:after="40"/>
            </w:pPr>
            <w:r/>
            <w:r>
              <w:rPr>
                <w:sz w:val="19"/>
              </w:rPr>
              <w:t>Optional</w:t>
            </w:r>
          </w:p>
        </w:tc>
      </w:tr>
      <w:tr>
        <w:tc>
          <w:tcPr>
            <w:tcW w:type="dxa" w:w="2160"/>
          </w:tcPr>
          <w:p>
            <w:pPr>
              <w:spacing w:after="40"/>
            </w:pPr>
            <w:r/>
            <w:r>
              <w:rPr>
                <w:sz w:val="19"/>
              </w:rPr>
              <w:t>Signed licence with embedded public key</w:t>
            </w:r>
          </w:p>
        </w:tc>
        <w:tc>
          <w:tcPr>
            <w:tcW w:type="dxa" w:w="3024"/>
          </w:tcPr>
          <w:p>
            <w:pPr>
              <w:spacing w:after="40"/>
            </w:pPr>
            <w:r/>
            <w:r>
              <w:rPr>
                <w:sz w:val="19"/>
              </w:rPr>
              <w:t>Prevents forging a licence even with full code access</w:t>
            </w:r>
          </w:p>
        </w:tc>
        <w:tc>
          <w:tcPr>
            <w:tcW w:type="dxa" w:w="2304"/>
          </w:tcPr>
          <w:p>
            <w:pPr>
              <w:spacing w:after="40"/>
            </w:pPr>
            <w:r/>
            <w:r>
              <w:rPr>
                <w:sz w:val="19"/>
              </w:rPr>
              <w:t>Removing the check entirely</w:t>
            </w:r>
          </w:p>
        </w:tc>
        <w:tc>
          <w:tcPr>
            <w:tcW w:type="dxa" w:w="1728"/>
          </w:tcPr>
          <w:p>
            <w:pPr>
              <w:spacing w:after="40"/>
            </w:pPr>
            <w:r/>
            <w:r>
              <w:rPr>
                <w:sz w:val="19"/>
              </w:rPr>
              <w:t>Yes</w:t>
            </w:r>
          </w:p>
        </w:tc>
      </w:tr>
    </w:tbl>
    <w:p>
      <w:pPr>
        <w:spacing w:after="80"/>
      </w:pPr>
    </w:p>
    <w:p>
      <w:pPr>
        <w:pStyle w:val="Heading2"/>
      </w:pPr>
      <w:r>
        <w:t>6.2 Recommended build pipeline</w:t>
      </w:r>
    </w:p>
    <w:p>
      <w:pPr>
        <w:pStyle w:val="ListNumber"/>
        <w:spacing w:after="60"/>
        <w:ind w:left="432"/>
      </w:pPr>
      <w:r>
        <w:t>Compile the licence verifier, the fingerprint routine and the core recognition pipeline to native extensions with Cython. These are the modules whose logic is worth protecting.</w:t>
      </w:r>
    </w:p>
    <w:p>
      <w:pPr>
        <w:pStyle w:val="ListNumber"/>
        <w:spacing w:after="60"/>
        <w:ind w:left="432"/>
      </w:pPr>
      <w:r>
        <w:t>Build the whole application with PyInstaller in one-folder mode, embedding the Ed25519 public key as a compiled constant rather than a data file.</w:t>
      </w:r>
    </w:p>
    <w:p>
      <w:pPr>
        <w:pStyle w:val="ListNumber"/>
        <w:spacing w:after="60"/>
        <w:ind w:left="432"/>
      </w:pPr>
      <w:r>
        <w:t>Strip development tooling from the shipped environment: no test suite, no export or training scripts, no source maps.</w:t>
      </w:r>
    </w:p>
    <w:p>
      <w:pPr>
        <w:pStyle w:val="ListNumber"/>
        <w:spacing w:after="60"/>
        <w:ind w:left="432"/>
      </w:pPr>
      <w:r>
        <w:t>Sign the installer with a code-signing certificate so Windows does not warn the distributor and so tampering with the installer is detectable.</w:t>
      </w:r>
    </w:p>
    <w:p>
      <w:pPr>
        <w:pStyle w:val="ListNumber"/>
        <w:spacing w:after="60"/>
        <w:ind w:left="432"/>
      </w:pPr>
      <w:r>
        <w:t>Ship the model files with SHA-256 checksums recorded in a manifest, verified at start, so a substituted or corrupted model fails loudly instead of silently degrading accuracy.</w:t>
      </w:r>
    </w:p>
    <w:p>
      <w:pPr>
        <w:pStyle w:val="ListNumber"/>
        <w:spacing w:after="60"/>
        <w:ind w:left="432"/>
      </w:pPr>
      <w:r>
        <w:t>Produce a per-release build manifest recording versions and checksums, for support and for proving what a given site is running.</w:t>
      </w:r>
    </w:p>
    <w:tbl>
      <w:tblPr>
        <w:tblStyle w:val="TableGrid"/>
        <w:tblW w:type="auto" w:w="0"/>
        <w:tblLook w:firstColumn="1" w:firstRow="1" w:lastColumn="0" w:lastRow="0" w:noHBand="0" w:noVBand="1" w:val="04A0"/>
      </w:tblPr>
      <w:tblGrid>
        <w:gridCol w:w="9504"/>
      </w:tblGrid>
      <w:tr>
        <w:tc>
          <w:tcPr>
            <w:tcW w:type="dxa" w:w="9504"/>
            <w:shd w:val="clear" w:fill="EAF2F3"/>
          </w:tcPr>
          <w:p>
            <w:pPr>
              <w:spacing w:after="40"/>
            </w:pPr>
            <w:r/>
            <w:r>
              <w:rPr>
                <w:b/>
                <w:color w:val="0E5C66"/>
                <w:sz w:val="16"/>
              </w:rPr>
              <w:t>ALREADY IN PLACE</w:t>
            </w:r>
          </w:p>
          <w:p>
            <w:pPr>
              <w:spacing w:after="0"/>
            </w:pPr>
            <w:r>
              <w:rPr>
                <w:sz w:val="19"/>
              </w:rPr>
              <w:t>The project already writes models/manifest.yaml with SHA-256 checksums at export time. Extending that file to be verified at service start is a small change and gives model integrity checking for very little work.</w:t>
            </w:r>
          </w:p>
        </w:tc>
      </w:tr>
    </w:tbl>
    <w:p>
      <w:pPr>
        <w:spacing w:after="80"/>
      </w:pPr>
    </w:p>
    <w:p>
      <w:pPr>
        <w:pStyle w:val="Heading2"/>
      </w:pPr>
      <w:r>
        <w:t>6.3 Protecting the trained models</w:t>
      </w:r>
    </w:p>
    <w:p>
      <w:r>
        <w:rPr>
          <w:b w:val="0"/>
          <w:i w:val="0"/>
        </w:rPr>
        <w:t>The ONNX model files are commercially valuable in their own right and are, by design, portable — they will run in any ONNX runtime. Options, in increasing order of cost:</w:t>
      </w:r>
    </w:p>
    <w:p>
      <w:pPr>
        <w:pStyle w:val="ListBullet"/>
        <w:spacing w:after="60"/>
        <w:ind w:left="360"/>
      </w:pPr>
      <w:r>
        <w:t>Ship them as-is with checksum verification. They are usable elsewhere by anyone who copies them. Acceptable while the models are general-purpose.</w:t>
      </w:r>
    </w:p>
    <w:p>
      <w:pPr>
        <w:pStyle w:val="ListBullet"/>
        <w:spacing w:after="60"/>
        <w:ind w:left="360"/>
      </w:pPr>
      <w:r>
        <w:t>Encrypt the model files at rest and decrypt into memory at load time, with the key derived from the licence. Raises the bar; the key is still present in the running process.</w:t>
      </w:r>
    </w:p>
    <w:p>
      <w:pPr>
        <w:pStyle w:val="ListBullet"/>
        <w:spacing w:after="60"/>
        <w:ind w:left="360"/>
      </w:pPr>
      <w:r>
        <w:t>Keep the highest-value fine-tuned models — in particular a recognition model trained on customer plate data — as the differentiator, and accept that the generic detectors are replaceable commodities.</w:t>
      </w:r>
    </w:p>
    <w:p>
      <w:r>
        <w:rPr>
          <w:b w:val="0"/>
          <w:i/>
          <w:color w:val="5A6266"/>
        </w:rPr>
        <w:t>The third option is usually the right commercial answer: protect the asset that took real data and effort to produce, rather than spending engineering time defending models that can be downloaded publicly.</w:t>
      </w:r>
    </w:p>
    <w:p>
      <w:pPr>
        <w:pStyle w:val="Heading1"/>
      </w:pPr>
      <w:r>
        <w:t>7. Distributor workflow</w:t>
      </w:r>
    </w:p>
    <w:tbl>
      <w:tblPr>
        <w:tblStyle w:val="TableGrid"/>
        <w:tblW w:type="auto" w:w="0"/>
        <w:jc w:val="center"/>
        <w:tblLook w:firstColumn="1" w:firstRow="1" w:lastColumn="0" w:lastRow="0" w:noHBand="0" w:noVBand="1" w:val="04A0"/>
      </w:tblPr>
      <w:tblGrid>
        <w:gridCol w:w="3168"/>
        <w:gridCol w:w="3168"/>
        <w:gridCol w:w="3168"/>
      </w:tblGrid>
      <w:tr>
        <w:tc>
          <w:tcPr>
            <w:tcW w:type="dxa" w:w="720"/>
            <w:shd w:val="clear" w:fill="0E5C66"/>
          </w:tcPr>
          <w:p>
            <w:r/>
            <w:r>
              <w:rPr>
                <w:b/>
                <w:color w:val="FFFFFF"/>
                <w:sz w:val="19"/>
              </w:rPr>
              <w:t>Step</w:t>
            </w:r>
          </w:p>
        </w:tc>
        <w:tc>
          <w:tcPr>
            <w:tcW w:type="dxa" w:w="1872"/>
            <w:shd w:val="clear" w:fill="0E5C66"/>
          </w:tcPr>
          <w:p>
            <w:r/>
            <w:r>
              <w:rPr>
                <w:b/>
                <w:color w:val="FFFFFF"/>
                <w:sz w:val="19"/>
              </w:rPr>
              <w:t>Who</w:t>
            </w:r>
          </w:p>
        </w:tc>
        <w:tc>
          <w:tcPr>
            <w:tcW w:type="dxa" w:w="6624"/>
            <w:shd w:val="clear" w:fill="0E5C66"/>
          </w:tcPr>
          <w:p>
            <w:r/>
            <w:r>
              <w:rPr>
                <w:b/>
                <w:color w:val="FFFFFF"/>
                <w:sz w:val="19"/>
              </w:rPr>
              <w:t>Action</w:t>
            </w:r>
          </w:p>
        </w:tc>
      </w:tr>
      <w:tr>
        <w:tc>
          <w:tcPr>
            <w:tcW w:type="dxa" w:w="720"/>
          </w:tcPr>
          <w:p>
            <w:pPr>
              <w:spacing w:after="40"/>
            </w:pPr>
            <w:r/>
            <w:r>
              <w:rPr>
                <w:sz w:val="19"/>
              </w:rPr>
              <w:t>1</w:t>
            </w:r>
          </w:p>
        </w:tc>
        <w:tc>
          <w:tcPr>
            <w:tcW w:type="dxa" w:w="1872"/>
          </w:tcPr>
          <w:p>
            <w:pPr>
              <w:spacing w:after="40"/>
            </w:pPr>
            <w:r/>
            <w:r>
              <w:rPr>
                <w:sz w:val="19"/>
              </w:rPr>
              <w:t>Distributor</w:t>
            </w:r>
          </w:p>
        </w:tc>
        <w:tc>
          <w:tcPr>
            <w:tcW w:type="dxa" w:w="6624"/>
          </w:tcPr>
          <w:p>
            <w:pPr>
              <w:spacing w:after="40"/>
            </w:pPr>
            <w:r/>
            <w:r>
              <w:rPr>
                <w:sz w:val="19"/>
              </w:rPr>
              <w:t>Sells the system to a site and specifies the camera count.</w:t>
            </w:r>
          </w:p>
        </w:tc>
      </w:tr>
      <w:tr>
        <w:tc>
          <w:tcPr>
            <w:tcW w:type="dxa" w:w="720"/>
          </w:tcPr>
          <w:p>
            <w:pPr>
              <w:spacing w:after="40"/>
            </w:pPr>
            <w:r/>
            <w:r>
              <w:rPr>
                <w:sz w:val="19"/>
              </w:rPr>
              <w:t>2</w:t>
            </w:r>
          </w:p>
        </w:tc>
        <w:tc>
          <w:tcPr>
            <w:tcW w:type="dxa" w:w="1872"/>
          </w:tcPr>
          <w:p>
            <w:pPr>
              <w:spacing w:after="40"/>
            </w:pPr>
            <w:r/>
            <w:r>
              <w:rPr>
                <w:sz w:val="19"/>
              </w:rPr>
              <w:t>Distributor</w:t>
            </w:r>
          </w:p>
        </w:tc>
        <w:tc>
          <w:tcPr>
            <w:tcW w:type="dxa" w:w="6624"/>
          </w:tcPr>
          <w:p>
            <w:pPr>
              <w:spacing w:after="40"/>
            </w:pPr>
            <w:r/>
            <w:r>
              <w:rPr>
                <w:sz w:val="19"/>
              </w:rPr>
              <w:t>Requests an activation key from us, quoting customer and camera count.</w:t>
            </w:r>
          </w:p>
        </w:tc>
      </w:tr>
      <w:tr>
        <w:tc>
          <w:tcPr>
            <w:tcW w:type="dxa" w:w="720"/>
          </w:tcPr>
          <w:p>
            <w:pPr>
              <w:spacing w:after="40"/>
            </w:pPr>
            <w:r/>
            <w:r>
              <w:rPr>
                <w:sz w:val="19"/>
              </w:rPr>
              <w:t>3</w:t>
            </w:r>
          </w:p>
        </w:tc>
        <w:tc>
          <w:tcPr>
            <w:tcW w:type="dxa" w:w="1872"/>
          </w:tcPr>
          <w:p>
            <w:pPr>
              <w:spacing w:after="40"/>
            </w:pPr>
            <w:r/>
            <w:r>
              <w:rPr>
                <w:sz w:val="19"/>
              </w:rPr>
              <w:t>Us</w:t>
            </w:r>
          </w:p>
        </w:tc>
        <w:tc>
          <w:tcPr>
            <w:tcW w:type="dxa" w:w="6624"/>
          </w:tcPr>
          <w:p>
            <w:pPr>
              <w:spacing w:after="40"/>
            </w:pPr>
            <w:r/>
            <w:r>
              <w:rPr>
                <w:sz w:val="19"/>
              </w:rPr>
              <w:t>Issues a single-use activation key with the agreed entitlements.</w:t>
            </w:r>
          </w:p>
        </w:tc>
      </w:tr>
      <w:tr>
        <w:tc>
          <w:tcPr>
            <w:tcW w:type="dxa" w:w="720"/>
          </w:tcPr>
          <w:p>
            <w:pPr>
              <w:spacing w:after="40"/>
            </w:pPr>
            <w:r/>
            <w:r>
              <w:rPr>
                <w:sz w:val="19"/>
              </w:rPr>
              <w:t>4</w:t>
            </w:r>
          </w:p>
        </w:tc>
        <w:tc>
          <w:tcPr>
            <w:tcW w:type="dxa" w:w="1872"/>
          </w:tcPr>
          <w:p>
            <w:pPr>
              <w:spacing w:after="40"/>
            </w:pPr>
            <w:r/>
            <w:r>
              <w:rPr>
                <w:sz w:val="19"/>
              </w:rPr>
              <w:t>Distributor</w:t>
            </w:r>
          </w:p>
        </w:tc>
        <w:tc>
          <w:tcPr>
            <w:tcW w:type="dxa" w:w="6624"/>
          </w:tcPr>
          <w:p>
            <w:pPr>
              <w:spacing w:after="40"/>
            </w:pPr>
            <w:r/>
            <w:r>
              <w:rPr>
                <w:sz w:val="19"/>
              </w:rPr>
              <w:t>Installs the package on the edge box and enters the key.</w:t>
            </w:r>
          </w:p>
        </w:tc>
      </w:tr>
      <w:tr>
        <w:tc>
          <w:tcPr>
            <w:tcW w:type="dxa" w:w="720"/>
          </w:tcPr>
          <w:p>
            <w:pPr>
              <w:spacing w:after="40"/>
            </w:pPr>
            <w:r/>
            <w:r>
              <w:rPr>
                <w:sz w:val="19"/>
              </w:rPr>
              <w:t>5</w:t>
            </w:r>
          </w:p>
        </w:tc>
        <w:tc>
          <w:tcPr>
            <w:tcW w:type="dxa" w:w="1872"/>
          </w:tcPr>
          <w:p>
            <w:pPr>
              <w:spacing w:after="40"/>
            </w:pPr>
            <w:r/>
            <w:r>
              <w:rPr>
                <w:sz w:val="19"/>
              </w:rPr>
              <w:t>Edge box</w:t>
            </w:r>
          </w:p>
        </w:tc>
        <w:tc>
          <w:tcPr>
            <w:tcW w:type="dxa" w:w="6624"/>
          </w:tcPr>
          <w:p>
            <w:pPr>
              <w:spacing w:after="40"/>
            </w:pPr>
            <w:r/>
            <w:r>
              <w:rPr>
                <w:sz w:val="19"/>
              </w:rPr>
              <w:t>Fingerprints the machine and activates, online or offline.</w:t>
            </w:r>
          </w:p>
        </w:tc>
      </w:tr>
      <w:tr>
        <w:tc>
          <w:tcPr>
            <w:tcW w:type="dxa" w:w="720"/>
          </w:tcPr>
          <w:p>
            <w:pPr>
              <w:spacing w:after="40"/>
            </w:pPr>
            <w:r/>
            <w:r>
              <w:rPr>
                <w:sz w:val="19"/>
              </w:rPr>
              <w:t>6</w:t>
            </w:r>
          </w:p>
        </w:tc>
        <w:tc>
          <w:tcPr>
            <w:tcW w:type="dxa" w:w="1872"/>
          </w:tcPr>
          <w:p>
            <w:pPr>
              <w:spacing w:after="40"/>
            </w:pPr>
            <w:r/>
            <w:r>
              <w:rPr>
                <w:sz w:val="19"/>
              </w:rPr>
              <w:t>Us</w:t>
            </w:r>
          </w:p>
        </w:tc>
        <w:tc>
          <w:tcPr>
            <w:tcW w:type="dxa" w:w="6624"/>
          </w:tcPr>
          <w:p>
            <w:pPr>
              <w:spacing w:after="40"/>
            </w:pPr>
            <w:r/>
            <w:r>
              <w:rPr>
                <w:sz w:val="19"/>
              </w:rPr>
              <w:t>Records the site, the bound machine, the entitlements and the expiry.</w:t>
            </w:r>
          </w:p>
        </w:tc>
      </w:tr>
      <w:tr>
        <w:tc>
          <w:tcPr>
            <w:tcW w:type="dxa" w:w="720"/>
          </w:tcPr>
          <w:p>
            <w:pPr>
              <w:spacing w:after="40"/>
            </w:pPr>
            <w:r/>
            <w:r>
              <w:rPr>
                <w:sz w:val="19"/>
              </w:rPr>
              <w:t>7</w:t>
            </w:r>
          </w:p>
        </w:tc>
        <w:tc>
          <w:tcPr>
            <w:tcW w:type="dxa" w:w="1872"/>
          </w:tcPr>
          <w:p>
            <w:pPr>
              <w:spacing w:after="40"/>
            </w:pPr>
            <w:r/>
            <w:r>
              <w:rPr>
                <w:sz w:val="19"/>
              </w:rPr>
              <w:t>Ongoing</w:t>
            </w:r>
          </w:p>
        </w:tc>
        <w:tc>
          <w:tcPr>
            <w:tcW w:type="dxa" w:w="6624"/>
          </w:tcPr>
          <w:p>
            <w:pPr>
              <w:spacing w:after="40"/>
            </w:pPr>
            <w:r/>
            <w:r>
              <w:rPr>
                <w:sz w:val="19"/>
              </w:rPr>
              <w:t>Renewal, camera-count upgrades and hardware transfers are all issued as new licence files against the same site record.</w:t>
            </w:r>
          </w:p>
        </w:tc>
      </w:tr>
    </w:tbl>
    <w:p>
      <w:pPr>
        <w:spacing w:after="80"/>
      </w:pPr>
    </w:p>
    <w:p>
      <w:r>
        <w:rPr>
          <w:b w:val="0"/>
          <w:i w:val="0"/>
        </w:rPr>
        <w:t>Hardware replacement should be a supported, logged operation rather than an exception. A documented transfer — old machine deactivated, new fingerprint bound — keeps the audit trail intact and avoids distributors accumulating spare activation keys 'just in case'.</w:t>
      </w:r>
    </w:p>
    <w:p>
      <w:pPr>
        <w:pStyle w:val="Heading1"/>
      </w:pPr>
      <w:r>
        <w:t>8. Implementation outline</w:t>
      </w:r>
    </w:p>
    <w:p>
      <w:r>
        <w:rPr>
          <w:b w:val="0"/>
          <w:i w:val="0"/>
        </w:rPr>
        <w:t>None of this exists in the codebase today. It belongs after the core system is complete, alongside packaging — the licensing layer should wrap a finished product, not be threaded through one that is still changing shape.</w:t>
      </w:r>
    </w:p>
    <w:tbl>
      <w:tblPr>
        <w:tblStyle w:val="TableGrid"/>
        <w:tblW w:type="auto" w:w="0"/>
        <w:jc w:val="center"/>
        <w:tblLook w:firstColumn="1" w:firstRow="1" w:lastColumn="0" w:lastRow="0" w:noHBand="0" w:noVBand="1" w:val="04A0"/>
      </w:tblPr>
      <w:tblGrid>
        <w:gridCol w:w="3168"/>
        <w:gridCol w:w="3168"/>
        <w:gridCol w:w="3168"/>
      </w:tblGrid>
      <w:tr>
        <w:tc>
          <w:tcPr>
            <w:tcW w:type="dxa" w:w="2304"/>
            <w:shd w:val="clear" w:fill="0E5C66"/>
          </w:tcPr>
          <w:p>
            <w:r/>
            <w:r>
              <w:rPr>
                <w:b/>
                <w:color w:val="FFFFFF"/>
                <w:sz w:val="19"/>
              </w:rPr>
              <w:t>Work item</w:t>
            </w:r>
          </w:p>
        </w:tc>
        <w:tc>
          <w:tcPr>
            <w:tcW w:type="dxa" w:w="5184"/>
            <w:shd w:val="clear" w:fill="0E5C66"/>
          </w:tcPr>
          <w:p>
            <w:r/>
            <w:r>
              <w:rPr>
                <w:b/>
                <w:color w:val="FFFFFF"/>
                <w:sz w:val="19"/>
              </w:rPr>
              <w:t>Notes</w:t>
            </w:r>
          </w:p>
        </w:tc>
        <w:tc>
          <w:tcPr>
            <w:tcW w:type="dxa" w:w="1728"/>
            <w:shd w:val="clear" w:fill="0E5C66"/>
          </w:tcPr>
          <w:p>
            <w:r/>
            <w:r>
              <w:rPr>
                <w:b/>
                <w:color w:val="FFFFFF"/>
                <w:sz w:val="19"/>
              </w:rPr>
              <w:t>Rough effort</w:t>
            </w:r>
          </w:p>
        </w:tc>
      </w:tr>
      <w:tr>
        <w:tc>
          <w:tcPr>
            <w:tcW w:type="dxa" w:w="2304"/>
          </w:tcPr>
          <w:p>
            <w:pPr>
              <w:spacing w:after="40"/>
            </w:pPr>
            <w:r/>
            <w:r>
              <w:rPr>
                <w:sz w:val="19"/>
              </w:rPr>
              <w:t>Licence server</w:t>
            </w:r>
          </w:p>
        </w:tc>
        <w:tc>
          <w:tcPr>
            <w:tcW w:type="dxa" w:w="5184"/>
          </w:tcPr>
          <w:p>
            <w:pPr>
              <w:spacing w:after="40"/>
            </w:pPr>
            <w:r/>
            <w:r>
              <w:rPr>
                <w:sz w:val="19"/>
              </w:rPr>
              <w:t>Key issuing, consumption tracking, signing endpoint, simple admin UI</w:t>
            </w:r>
          </w:p>
        </w:tc>
        <w:tc>
          <w:tcPr>
            <w:tcW w:type="dxa" w:w="1728"/>
          </w:tcPr>
          <w:p>
            <w:pPr>
              <w:spacing w:after="40"/>
            </w:pPr>
            <w:r/>
            <w:r>
              <w:rPr>
                <w:sz w:val="19"/>
              </w:rPr>
              <w:t>3–5 days</w:t>
            </w:r>
          </w:p>
        </w:tc>
      </w:tr>
      <w:tr>
        <w:tc>
          <w:tcPr>
            <w:tcW w:type="dxa" w:w="2304"/>
          </w:tcPr>
          <w:p>
            <w:pPr>
              <w:spacing w:after="40"/>
            </w:pPr>
            <w:r/>
            <w:r>
              <w:rPr>
                <w:sz w:val="19"/>
              </w:rPr>
              <w:t>Fingerprint module</w:t>
            </w:r>
          </w:p>
        </w:tc>
        <w:tc>
          <w:tcPr>
            <w:tcW w:type="dxa" w:w="5184"/>
          </w:tcPr>
          <w:p>
            <w:pPr>
              <w:spacing w:after="40"/>
            </w:pPr>
            <w:r/>
            <w:r>
              <w:rPr>
                <w:sz w:val="19"/>
              </w:rPr>
              <w:t>Windows and Linux collectors, 2-of-3 matching, stable hashing</w:t>
            </w:r>
          </w:p>
        </w:tc>
        <w:tc>
          <w:tcPr>
            <w:tcW w:type="dxa" w:w="1728"/>
          </w:tcPr>
          <w:p>
            <w:pPr>
              <w:spacing w:after="40"/>
            </w:pPr>
            <w:r/>
            <w:r>
              <w:rPr>
                <w:sz w:val="19"/>
              </w:rPr>
              <w:t>1–2 days</w:t>
            </w:r>
          </w:p>
        </w:tc>
      </w:tr>
      <w:tr>
        <w:tc>
          <w:tcPr>
            <w:tcW w:type="dxa" w:w="2304"/>
          </w:tcPr>
          <w:p>
            <w:pPr>
              <w:spacing w:after="40"/>
            </w:pPr>
            <w:r/>
            <w:r>
              <w:rPr>
                <w:sz w:val="19"/>
              </w:rPr>
              <w:t>Licence verifier</w:t>
            </w:r>
          </w:p>
        </w:tc>
        <w:tc>
          <w:tcPr>
            <w:tcW w:type="dxa" w:w="5184"/>
          </w:tcPr>
          <w:p>
            <w:pPr>
              <w:spacing w:after="40"/>
            </w:pPr>
            <w:r/>
            <w:r>
              <w:rPr>
                <w:sz w:val="19"/>
              </w:rPr>
              <w:t>Signature check, expiry, clock sanity, entitlement publication</w:t>
            </w:r>
          </w:p>
        </w:tc>
        <w:tc>
          <w:tcPr>
            <w:tcW w:type="dxa" w:w="1728"/>
          </w:tcPr>
          <w:p>
            <w:pPr>
              <w:spacing w:after="40"/>
            </w:pPr>
            <w:r/>
            <w:r>
              <w:rPr>
                <w:sz w:val="19"/>
              </w:rPr>
              <w:t>2 days</w:t>
            </w:r>
          </w:p>
        </w:tc>
      </w:tr>
      <w:tr>
        <w:tc>
          <w:tcPr>
            <w:tcW w:type="dxa" w:w="2304"/>
          </w:tcPr>
          <w:p>
            <w:pPr>
              <w:spacing w:after="40"/>
            </w:pPr>
            <w:r/>
            <w:r>
              <w:rPr>
                <w:sz w:val="19"/>
              </w:rPr>
              <w:t>Enforcement points</w:t>
            </w:r>
          </w:p>
        </w:tc>
        <w:tc>
          <w:tcPr>
            <w:tcW w:type="dxa" w:w="5184"/>
          </w:tcPr>
          <w:p>
            <w:pPr>
              <w:spacing w:after="40"/>
            </w:pPr>
            <w:r/>
            <w:r>
              <w:rPr>
                <w:sz w:val="19"/>
              </w:rPr>
              <w:t>Service start, supervisor, camera creation, daily check, UI banner</w:t>
            </w:r>
          </w:p>
        </w:tc>
        <w:tc>
          <w:tcPr>
            <w:tcW w:type="dxa" w:w="1728"/>
          </w:tcPr>
          <w:p>
            <w:pPr>
              <w:spacing w:after="40"/>
            </w:pPr>
            <w:r/>
            <w:r>
              <w:rPr>
                <w:sz w:val="19"/>
              </w:rPr>
              <w:t>2 days</w:t>
            </w:r>
          </w:p>
        </w:tc>
      </w:tr>
      <w:tr>
        <w:tc>
          <w:tcPr>
            <w:tcW w:type="dxa" w:w="2304"/>
          </w:tcPr>
          <w:p>
            <w:pPr>
              <w:spacing w:after="40"/>
            </w:pPr>
            <w:r/>
            <w:r>
              <w:rPr>
                <w:sz w:val="19"/>
              </w:rPr>
              <w:t>Offline activation</w:t>
            </w:r>
          </w:p>
        </w:tc>
        <w:tc>
          <w:tcPr>
            <w:tcW w:type="dxa" w:w="5184"/>
          </w:tcPr>
          <w:p>
            <w:pPr>
              <w:spacing w:after="40"/>
            </w:pPr>
            <w:r/>
            <w:r>
              <w:rPr>
                <w:sz w:val="19"/>
              </w:rPr>
              <w:t>Request-code generation and paste-back flow</w:t>
            </w:r>
          </w:p>
        </w:tc>
        <w:tc>
          <w:tcPr>
            <w:tcW w:type="dxa" w:w="1728"/>
          </w:tcPr>
          <w:p>
            <w:pPr>
              <w:spacing w:after="40"/>
            </w:pPr>
            <w:r/>
            <w:r>
              <w:rPr>
                <w:sz w:val="19"/>
              </w:rPr>
              <w:t>1–2 days</w:t>
            </w:r>
          </w:p>
        </w:tc>
      </w:tr>
      <w:tr>
        <w:tc>
          <w:tcPr>
            <w:tcW w:type="dxa" w:w="2304"/>
          </w:tcPr>
          <w:p>
            <w:pPr>
              <w:spacing w:after="40"/>
            </w:pPr>
            <w:r/>
            <w:r>
              <w:rPr>
                <w:sz w:val="19"/>
              </w:rPr>
              <w:t>Build pipeline</w:t>
            </w:r>
          </w:p>
        </w:tc>
        <w:tc>
          <w:tcPr>
            <w:tcW w:type="dxa" w:w="5184"/>
          </w:tcPr>
          <w:p>
            <w:pPr>
              <w:spacing w:after="40"/>
            </w:pPr>
            <w:r/>
            <w:r>
              <w:rPr>
                <w:sz w:val="19"/>
              </w:rPr>
              <w:t>Cython for selected modules, PyInstaller, code signing, manifest verification</w:t>
            </w:r>
          </w:p>
        </w:tc>
        <w:tc>
          <w:tcPr>
            <w:tcW w:type="dxa" w:w="1728"/>
          </w:tcPr>
          <w:p>
            <w:pPr>
              <w:spacing w:after="40"/>
            </w:pPr>
            <w:r/>
            <w:r>
              <w:rPr>
                <w:sz w:val="19"/>
              </w:rPr>
              <w:t>3–4 days</w:t>
            </w:r>
          </w:p>
        </w:tc>
      </w:tr>
      <w:tr>
        <w:tc>
          <w:tcPr>
            <w:tcW w:type="dxa" w:w="2304"/>
          </w:tcPr>
          <w:p>
            <w:pPr>
              <w:spacing w:after="40"/>
            </w:pPr>
            <w:r/>
            <w:r>
              <w:rPr>
                <w:sz w:val="19"/>
              </w:rPr>
              <w:t>Documentation</w:t>
            </w:r>
          </w:p>
        </w:tc>
        <w:tc>
          <w:tcPr>
            <w:tcW w:type="dxa" w:w="5184"/>
          </w:tcPr>
          <w:p>
            <w:pPr>
              <w:spacing w:after="40"/>
            </w:pPr>
            <w:r/>
            <w:r>
              <w:rPr>
                <w:sz w:val="19"/>
              </w:rPr>
              <w:t>Distributor installation guide and internal support runbook</w:t>
            </w:r>
          </w:p>
        </w:tc>
        <w:tc>
          <w:tcPr>
            <w:tcW w:type="dxa" w:w="1728"/>
          </w:tcPr>
          <w:p>
            <w:pPr>
              <w:spacing w:after="40"/>
            </w:pPr>
            <w:r/>
            <w:r>
              <w:rPr>
                <w:sz w:val="19"/>
              </w:rPr>
              <w:t>1 day</w:t>
            </w:r>
          </w:p>
        </w:tc>
      </w:tr>
    </w:tbl>
    <w:p>
      <w:pPr>
        <w:spacing w:after="80"/>
      </w:pPr>
    </w:p>
    <w:p>
      <w:r>
        <w:rPr>
          <w:b w:val="0"/>
          <w:i/>
          <w:color w:val="5A6266"/>
        </w:rPr>
        <w:t>Indicative total: two to three weeks of focused work, excluding the code-signing certificate procurement, which has a lead time.</w:t>
      </w:r>
    </w:p>
    <w:p>
      <w:pPr>
        <w:pStyle w:val="Heading1"/>
      </w:pPr>
      <w:r>
        <w:t>9. Honest limitations</w:t>
      </w:r>
    </w:p>
    <w:p>
      <w:r>
        <w:rPr>
          <w:b w:val="0"/>
          <w:i w:val="0"/>
        </w:rPr>
        <w:t>These should be understood internally and never contradicted in a customer or partner conversation:</w:t>
      </w:r>
    </w:p>
    <w:p>
      <w:pPr>
        <w:pStyle w:val="ListBullet"/>
        <w:spacing w:after="60"/>
        <w:ind w:left="360"/>
      </w:pPr>
      <w:r>
        <w:t>A determined and skilled attacker with physical access to the edge box can remove the licence check. Native compilation of the verifier makes this materially harder, not impossible.</w:t>
      </w:r>
    </w:p>
    <w:p>
      <w:pPr>
        <w:pStyle w:val="ListBullet"/>
        <w:spacing w:after="60"/>
        <w:ind w:left="360"/>
      </w:pPr>
      <w:r>
        <w:t>The Ed25519 private key is the single point of failure for the whole scheme. If it leaks, every licence ever issued can be forged and the only remedy is a new key in a new software version. It must be held in a hardware security module or an equivalently protected store, never in a source repository.</w:t>
      </w:r>
    </w:p>
    <w:p>
      <w:pPr>
        <w:pStyle w:val="ListBullet"/>
        <w:spacing w:after="60"/>
        <w:ind w:left="360"/>
      </w:pPr>
      <w:r>
        <w:t>Fingerprinting on virtual machines is weaker than on physical hardware, because virtual identifiers can be edited. If VM deployment is to be supported, expect weaker binding and price accordingly.</w:t>
      </w:r>
    </w:p>
    <w:p>
      <w:pPr>
        <w:pStyle w:val="ListBullet"/>
        <w:spacing w:after="60"/>
        <w:ind w:left="360"/>
      </w:pPr>
      <w:r>
        <w:t>Aggressive enforcement creates support load. Every false lockout is a phone call at an inconvenient hour, and a site that has already paid. The grace period exists to protect the relationship, not the attacker.</w:t>
      </w:r>
    </w:p>
    <w:p>
      <w:pPr>
        <w:pStyle w:val="ListBullet"/>
        <w:spacing w:after="60"/>
        <w:ind w:left="360"/>
      </w:pPr>
      <w:r>
        <w:t>Any check performed only at start-up is bypassed by a process that is never restarted. The daily scheduled check exists for this reason.</w:t>
      </w:r>
    </w:p>
    <w:p>
      <w:r>
        <w:rPr>
          <w:b/>
          <w:i w:val="0"/>
        </w:rPr>
        <w:t>The objective is a scheme that makes unauthorised deployment inconvenient and visible, gives us an accurate record of live sites, and supports subscription and camera-count commercial models. Measured against that objective, the design above is sufficient. Measured against 'nobody can ever copy our software', no design would be.</w:t>
      </w:r>
    </w:p>
    <w:p/>
    <w:p>
      <w:r>
        <w:rPr>
          <w:i/>
          <w:color w:val="5A6266"/>
          <w:sz w:val="17"/>
        </w:rPr>
        <w:t>End of document</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E5C66"/>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E5C66"/>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