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80" w:before="0"/>
        <w:jc w:val="center"/>
      </w:pPr>
      <w:r>
        <w:rPr>
          <w:rFonts w:ascii="Georgia" w:cs="Georgia" w:eastAsia="Georgia" w:hAnsi="Georgia"/>
          <w:b/>
          <w:bCs/>
          <w:color w:val="1A1A2E"/>
          <w:sz w:val="56"/>
          <w:szCs w:val="56"/>
        </w:rPr>
        <w:t xml:space="preserve">THE PHILOMATH INDEX</w:t>
      </w:r>
    </w:p>
    <w:p>
      <w:pPr>
        <w:spacing w:after="200" w:before="0"/>
        <w:jc w:val="center"/>
      </w:pPr>
      <w:r>
        <w:rPr>
          <w:rFonts w:ascii="Georgia" w:cs="Georgia" w:eastAsia="Georgia" w:hAnsi="Georgia"/>
          <w:i/>
          <w:iCs/>
          <w:color w:val="4A6FA5"/>
          <w:sz w:val="30"/>
          <w:szCs w:val="30"/>
        </w:rPr>
        <w:t xml:space="preserve">Linguistic Regression for Philosophical Density</w:t>
      </w:r>
    </w:p>
    <w:p>
      <w:pPr>
        <w:pBdr>
          <w:bottom w:val="single" w:color="4A6FA5" w:sz="6" w:space="1"/>
        </w:pBdr>
        <w:spacing w:after="160" w:before="160"/>
      </w:pPr>
      <w:r>
        <w:t xml:space="preserve"/>
      </w:r>
    </w:p>
    <w:p>
      <w:pPr>
        <w:spacing w:after="60" w:before="200"/>
        <w:jc w:val="center"/>
      </w:pPr>
      <w:r>
        <w:rPr>
          <w:rFonts w:ascii="Calibri" w:cs="Calibri" w:eastAsia="Calibri" w:hAnsi="Calibri"/>
          <w:color w:val="555555"/>
          <w:sz w:val="22"/>
          <w:szCs w:val="22"/>
        </w:rPr>
        <w:t xml:space="preserve">Complete Project Problem Statement &amp; Technical Specification</w:t>
      </w:r>
    </w:p>
    <w:p>
      <w:pPr>
        <w:spacing w:after="0" w:before="0"/>
      </w:pPr>
      <w:r>
        <w:rPr>
          <w:sz w:val="132"/>
          <w:szCs w:val="132"/>
        </w:rPr>
        <w:t xml:space="preserve"/>
      </w:r>
    </w:p>
    <w:p>
      <w:pPr>
        <w:jc w:val="center"/>
      </w:pPr>
      <w:r>
        <w:rPr>
          <w:rFonts w:ascii="Georgia" w:cs="Georgia" w:eastAsia="Georgia" w:hAnsi="Georgia"/>
          <w:i/>
          <w:iCs/>
          <w:color w:val="555555"/>
          <w:sz w:val="24"/>
          <w:szCs w:val="24"/>
        </w:rPr>
        <w:t xml:space="preserve">"The limit of my language is the limit of my world."</w:t>
      </w:r>
    </w:p>
    <w:p>
      <w:pPr>
        <w:spacing w:after="0" w:before="60"/>
        <w:jc w:val="center"/>
      </w:pPr>
      <w:r>
        <w:rPr>
          <w:rFonts w:ascii="Georgia" w:cs="Georgia" w:eastAsia="Georgia" w:hAnsi="Georgia"/>
          <w:color w:val="888888"/>
          <w:sz w:val="22"/>
          <w:szCs w:val="22"/>
        </w:rPr>
        <w:t xml:space="preserve">— Ludwig Wittgenstein</w:t>
      </w:r>
    </w:p>
    <w:p>
      <w:pPr>
        <w:spacing w:after="0" w:before="0"/>
      </w:pPr>
      <w:r>
        <w:rPr>
          <w:sz w:val="220"/>
          <w:szCs w:val="220"/>
        </w:rPr>
        <w:t xml:space="preserve"/>
      </w:r>
    </w:p>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Abstract</w:t>
      </w:r>
    </w:p>
    <w:p>
      <w:pPr>
        <w:spacing w:after="100" w:before="80"/>
      </w:pPr>
      <w:r>
        <w:rPr>
          <w:rFonts w:ascii="Calibri" w:cs="Calibri" w:eastAsia="Calibri" w:hAnsi="Calibri"/>
          <w:color w:val="333333"/>
          <w:sz w:val="22"/>
          <w:szCs w:val="22"/>
        </w:rPr>
        <w:t xml:space="preserve">Standard readability metrics — Flesch-Kincaid, Gunning Fog, SMOG — measure surface-level difficulty using syllable counts and sentence lengths. These instruments, designed for journalism and instructional design, are categorically blind to the phenomenon of conceptual compression: the tendency of philosophical, theological, and literary prose to encode extraordinary intellectual weight into syntactically simple structures.</w:t>
      </w:r>
    </w:p>
    <w:p>
      <w:pPr>
        <w:spacing w:after="100" w:before="80"/>
      </w:pPr>
      <w:r>
        <w:rPr>
          <w:rFonts w:ascii="Calibri" w:cs="Calibri" w:eastAsia="Calibri" w:hAnsi="Calibri"/>
          <w:color w:val="333333"/>
          <w:sz w:val="22"/>
          <w:szCs w:val="22"/>
        </w:rPr>
        <w:t xml:space="preserve">A sentence by Nietzsche may contain fewer words than a sentence from a children's primer, yet carry exponentially greater cognitive load due to its dense web of abstract nouns, inverted presuppositions, and cross-referential argumentation. Standard readability scores would rank Nietzsche's Thus Spoke Zarathustra as "easy" — a category error that exposes the fundamental inadequacy of syllable-counting as a proxy for intellectual complexity.</w:t>
      </w:r>
    </w:p>
    <w:p>
      <w:pPr>
        <w:spacing w:after="100" w:before="80"/>
      </w:pPr>
      <w:r>
        <w:rPr>
          <w:rFonts w:ascii="Calibri" w:cs="Calibri" w:eastAsia="Calibri" w:hAnsi="Calibri"/>
          <w:color w:val="333333"/>
          <w:sz w:val="22"/>
          <w:szCs w:val="22"/>
        </w:rPr>
        <w:t xml:space="preserve">The Philomath Index addresses this gap. It is a regression-based scoring engine — trained on a curated corpus of philosophical, literary, and general-audience texts — that predicts a Complexity Score (0–100) by modelling syntactic depth, lexical rarity, and abstractness ratios as first-class features, producing a score that is linguistically grounded, interpretable, and empirically validated.</w:t>
      </w:r>
    </w:p>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1. Problem Statement</w:t>
      </w:r>
    </w:p>
    <w:p>
      <w:pPr>
        <w:pStyle w:val="Heading2"/>
        <w:spacing w:after="100" w:before="280"/>
      </w:pPr>
      <w:r>
        <w:rPr>
          <w:rFonts w:ascii="Georgia" w:cs="Georgia" w:eastAsia="Georgia" w:hAnsi="Georgia"/>
          <w:b/>
          <w:bCs/>
          <w:color w:val="4A6FA5"/>
          <w:sz w:val="28"/>
          <w:szCs w:val="28"/>
        </w:rPr>
        <w:t xml:space="preserve">1.1 The Core Limitation of Existing Metrics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Basis</w:t>
            </w:r>
          </w:p>
        </w:tc>
        <w:tc>
          <w:tcPr>
            <w:tcW w:type="dxa" w:w="43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Limitation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Flesch-Kincaid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Syllables + sentence length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Cannot detect abstract vocabulary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Gunning Fog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Complex word ratio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"Complex" = polysyllabic, not abstract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SMOG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Polysyllabic words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Fails on short philosophical sentences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Dale-Chall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Known word lists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Static list; no semantic understanding</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None of these capture semantic density — the quantity of abstract concepts packed per unit of text.</w:t>
            </w:r>
          </w:p>
        </w:tc>
      </w:tr>
    </w:tbl>
    <w:p>
      <w:pPr>
        <w:spacing w:after="0" w:before="0"/>
      </w:pPr>
      <w:r>
        <w:rPr>
          <w:sz w:val="22"/>
          <w:szCs w:val="22"/>
        </w:rPr>
        <w:t xml:space="preserve"/>
      </w:r>
    </w:p>
    <w:p>
      <w:pPr>
        <w:pStyle w:val="Heading2"/>
        <w:spacing w:after="100" w:before="280"/>
      </w:pPr>
      <w:r>
        <w:rPr>
          <w:rFonts w:ascii="Georgia" w:cs="Georgia" w:eastAsia="Georgia" w:hAnsi="Georgia"/>
          <w:b/>
          <w:bCs/>
          <w:color w:val="4A6FA5"/>
          <w:sz w:val="28"/>
          <w:szCs w:val="28"/>
        </w:rPr>
        <w:t xml:space="preserve">1.2 The Hypothesis</w:t>
      </w:r>
    </w:p>
    <w:p>
      <w:pPr>
        <w:spacing w:after="100" w:before="80"/>
      </w:pPr>
      <w:r>
        <w:rPr>
          <w:rFonts w:ascii="Calibri" w:cs="Calibri" w:eastAsia="Calibri" w:hAnsi="Calibri"/>
          <w:color w:val="333333"/>
          <w:sz w:val="22"/>
          <w:szCs w:val="22"/>
        </w:rPr>
        <w:t xml:space="preserve">Linguistic complexity in philosophical texts is a multi-dimensional phenomenon governed by at least three orthogonal axes:</w:t>
      </w:r>
    </w:p>
    <w:p>
      <w:pPr>
        <w:pStyle w:val="ListParagraph"/>
        <w:numPr>
          <w:ilvl w:val="0"/>
          <w:numId w:val="2"/>
        </w:numPr>
        <w:spacing w:after="60" w:before="60"/>
      </w:pPr>
      <w:r>
        <w:rPr>
          <w:rFonts w:ascii="Calibri" w:cs="Calibri" w:eastAsia="Calibri" w:hAnsi="Calibri"/>
          <w:color w:val="333333"/>
          <w:sz w:val="22"/>
          <w:szCs w:val="22"/>
        </w:rPr>
        <w:t xml:space="preserve">Syntactic Depth — How deeply nested are the grammatical structures?</w:t>
      </w:r>
    </w:p>
    <w:p>
      <w:pPr>
        <w:pStyle w:val="ListParagraph"/>
        <w:numPr>
          <w:ilvl w:val="0"/>
          <w:numId w:val="2"/>
        </w:numPr>
        <w:spacing w:after="60" w:before="60"/>
      </w:pPr>
      <w:r>
        <w:rPr>
          <w:rFonts w:ascii="Calibri" w:cs="Calibri" w:eastAsia="Calibri" w:hAnsi="Calibri"/>
          <w:color w:val="333333"/>
          <w:sz w:val="22"/>
          <w:szCs w:val="22"/>
        </w:rPr>
        <w:t xml:space="preserve">Lexical Rarity — How infrequent are the words in general language use?</w:t>
      </w:r>
    </w:p>
    <w:p>
      <w:pPr>
        <w:pStyle w:val="ListParagraph"/>
        <w:numPr>
          <w:ilvl w:val="0"/>
          <w:numId w:val="2"/>
        </w:numPr>
        <w:spacing w:after="60" w:before="60"/>
      </w:pPr>
      <w:r>
        <w:rPr>
          <w:rFonts w:ascii="Calibri" w:cs="Calibri" w:eastAsia="Calibri" w:hAnsi="Calibri"/>
          <w:color w:val="333333"/>
          <w:sz w:val="22"/>
          <w:szCs w:val="22"/>
        </w:rPr>
        <w:t xml:space="preserve">Abstractness Ratio — What proportion of nouns refer to intangible concepts vs. physical objects?</w:t>
      </w:r>
    </w:p>
    <w:p>
      <w:pPr>
        <w:spacing w:after="0" w:before="0"/>
      </w:pPr>
      <w:r>
        <w:rPr>
          <w:sz w:val="22"/>
          <w:szCs w:val="22"/>
        </w:rPr>
        <w:t xml:space="preserve"/>
      </w:r>
    </w:p>
    <w:p>
      <w:pPr>
        <w:spacing w:after="100" w:before="80"/>
      </w:pPr>
      <w:r>
        <w:rPr>
          <w:rFonts w:ascii="Calibri" w:cs="Calibri" w:eastAsia="Calibri" w:hAnsi="Calibri"/>
          <w:color w:val="333333"/>
          <w:sz w:val="22"/>
          <w:szCs w:val="22"/>
        </w:rPr>
        <w:t xml:space="preserve">A regression model that encodes these three axes as engineered features — derived via dependency parsing and corpus-frequency statistics — can predict perceived intellectual complexity with significantly greater fidelity than any surface-level formula.</w:t>
      </w:r>
    </w:p>
    <w:p>
      <w:pPr>
        <w:pStyle w:val="Heading2"/>
        <w:spacing w:after="100" w:before="280"/>
      </w:pPr>
      <w:r>
        <w:rPr>
          <w:rFonts w:ascii="Georgia" w:cs="Georgia" w:eastAsia="Georgia" w:hAnsi="Georgia"/>
          <w:b/>
          <w:bCs/>
          <w:color w:val="4A6FA5"/>
          <w:sz w:val="28"/>
          <w:szCs w:val="28"/>
        </w:rPr>
        <w:t xml:space="preserve">1.3 Formal Problem Definition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Given a natural language text snippet T of arbitrary length, predict a continuous scalar ŷ ∈ [0, 100] representing its Philomath Complexity Score, where 0 represents maximally simple text (children's literature) and 100 represents maximally dense philosophical or theoretical prose.</w:t>
            </w:r>
          </w:p>
        </w:tc>
      </w:tr>
    </w:tbl>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2. Dataset Design &amp; Ground Truth Construction</w:t>
      </w:r>
    </w:p>
    <w:p>
      <w:pPr>
        <w:pStyle w:val="Heading2"/>
        <w:spacing w:after="100" w:before="280"/>
      </w:pPr>
      <w:r>
        <w:rPr>
          <w:rFonts w:ascii="Georgia" w:cs="Georgia" w:eastAsia="Georgia" w:hAnsi="Georgia"/>
          <w:b/>
          <w:bCs/>
          <w:color w:val="4A6FA5"/>
          <w:sz w:val="28"/>
          <w:szCs w:val="28"/>
        </w:rPr>
        <w:t xml:space="preserve">2.1 Corpus Architecture</w:t>
      </w:r>
    </w:p>
    <w:p>
      <w:pPr>
        <w:spacing w:after="100" w:before="80"/>
      </w:pPr>
      <w:r>
        <w:rPr>
          <w:rFonts w:ascii="Calibri" w:cs="Calibri" w:eastAsia="Calibri" w:hAnsi="Calibri"/>
          <w:color w:val="333333"/>
          <w:sz w:val="22"/>
          <w:szCs w:val="22"/>
        </w:rPr>
        <w:t xml:space="preserve">The training corpus spans five difficulty strata, each with multiple representative sources to prevent author-specific overfitting: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Stratum</w:t>
            </w:r>
          </w:p>
        </w:tc>
        <w:tc>
          <w:tcPr>
            <w:tcW w:type="dxa" w:w="14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Score Band</w:t>
            </w:r>
          </w:p>
        </w:tc>
        <w:tc>
          <w:tcPr>
            <w:tcW w:type="dxa" w:w="55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Example 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Stratum 1 – Foundational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Project Gutenberg children's classics, Aesop's Fables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Stratum 2 – General Prose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20–40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19th-century journalism, Mark Twain, O. Henry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Stratum 3 – Literary Fiction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40–60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Dickens, Hardy, Tolstoy, Dostoevsky narrative passages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Stratum 4 – Dense Fiction &amp; Essays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60–80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Kafka, Woolf, Borges, Nietzsche's aphorisms, Emerson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Stratum 5 – Philosophical Treatises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80–100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Hegel, Heidegger, Krishnamurti, Wittgenstein, Kant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Minimum target: 5,000 labelled snippets, 200–500 words each, stratified across all five strata.</w:t>
            </w:r>
          </w:p>
        </w:tc>
      </w:tr>
    </w:tbl>
    <w:p>
      <w:pPr>
        <w:spacing w:after="0" w:before="0"/>
      </w:pPr>
      <w:r>
        <w:rPr>
          <w:sz w:val="22"/>
          <w:szCs w:val="22"/>
        </w:rPr>
        <w:t xml:space="preserve"/>
      </w:r>
    </w:p>
    <w:p>
      <w:pPr>
        <w:pStyle w:val="Heading2"/>
        <w:spacing w:after="100" w:before="280"/>
      </w:pPr>
      <w:r>
        <w:rPr>
          <w:rFonts w:ascii="Georgia" w:cs="Georgia" w:eastAsia="Georgia" w:hAnsi="Georgia"/>
          <w:b/>
          <w:bCs/>
          <w:color w:val="4A6FA5"/>
          <w:sz w:val="28"/>
          <w:szCs w:val="28"/>
        </w:rPr>
        <w:t xml:space="preserve">2.2 Hybrid Labelling Strategy</w:t>
      </w:r>
    </w:p>
    <w:p>
      <w:pPr>
        <w:spacing w:after="100" w:before="80"/>
      </w:pPr>
      <w:r>
        <w:rPr>
          <w:rFonts w:ascii="Calibri" w:cs="Calibri" w:eastAsia="Calibri" w:hAnsi="Calibri"/>
          <w:color w:val="333333"/>
          <w:sz w:val="22"/>
          <w:szCs w:val="22"/>
        </w:rPr>
        <w:t xml:space="preserve">Initial labels are generated using a three-component hybrid formula to avoid relying solely on any single heuristic:</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y_i = α · GunningFog(T_i) + β · AuthorRank(T_i) + γ · ZipfPenalty(T_i)</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Where:</w:t>
            </w:r>
          </w:p>
          <w:p>
            <w:pPr>
              <w:spacing w:after="0" w:before="0"/>
            </w:pPr>
            <w:r>
              <w:rPr>
                <w:rFonts w:ascii="Courier New" w:cs="Courier New" w:eastAsia="Courier New" w:hAnsi="Courier New"/>
                <w:color w:val="1A1A2E"/>
                <w:sz w:val="18"/>
                <w:szCs w:val="18"/>
              </w:rPr>
              <w:t xml:space="preserve">  α = 0.35  — Weight for Gunning Fog (normalised to 0–100)</w:t>
            </w:r>
          </w:p>
          <w:p>
            <w:pPr>
              <w:spacing w:after="0" w:before="0"/>
            </w:pPr>
            <w:r>
              <w:rPr>
                <w:rFonts w:ascii="Courier New" w:cs="Courier New" w:eastAsia="Courier New" w:hAnsi="Courier New"/>
                <w:color w:val="1A1A2E"/>
                <w:sz w:val="18"/>
                <w:szCs w:val="18"/>
              </w:rPr>
              <w:t xml:space="preserve">  β = 0.40  — Weight for hand-assigned author difficulty rank</w:t>
            </w:r>
          </w:p>
          <w:p>
            <w:pPr>
              <w:spacing w:after="0" w:before="0"/>
            </w:pPr>
            <w:r>
              <w:rPr>
                <w:rFonts w:ascii="Courier New" w:cs="Courier New" w:eastAsia="Courier New" w:hAnsi="Courier New"/>
                <w:color w:val="1A1A2E"/>
                <w:sz w:val="18"/>
                <w:szCs w:val="18"/>
              </w:rPr>
              <w:t xml:space="preserve">  γ = 0.25  — Weight for Zipf-frequency penalty (rare vocabulary bonus)</w:t>
            </w:r>
          </w:p>
        </w:tc>
      </w:tr>
    </w:tbl>
    <w:p>
      <w:pPr>
        <w:spacing w:after="0" w:before="0"/>
      </w:pPr>
      <w:r>
        <w:rPr>
          <w:sz w:val="22"/>
          <w:szCs w:val="22"/>
        </w:rPr>
        <w:t xml:space="preserve"/>
      </w:r>
    </w:p>
    <w:p>
      <w:pPr>
        <w:pStyle w:val="Heading3"/>
        <w:spacing w:after="80" w:before="200"/>
      </w:pPr>
      <w:r>
        <w:rPr>
          <w:rFonts w:ascii="Georgia" w:cs="Georgia" w:eastAsia="Georgia" w:hAnsi="Georgia"/>
          <w:b/>
          <w:bCs/>
          <w:color w:val="1A1A2E"/>
          <w:sz w:val="24"/>
          <w:szCs w:val="24"/>
        </w:rPr>
        <w:t xml:space="preserve">Author Difficulty Rank Table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Author / Source</w:t>
            </w:r>
          </w:p>
        </w:tc>
        <w:tc>
          <w:tcPr>
            <w:tcW w:type="dxa" w:w="33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Assigned Rank</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Children's nursery texts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Mark Twain, O. Henry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30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Dickens, Hardy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50</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Dostoevsky, Kafka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72</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Nietzsche, Emerson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82</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Hegel, Heidegger, Kant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95</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Human Validation: A random 10% sample (~500 snippets) should be independently scored by annotators with a philosophy background. Inter-annotator agreement (Cohen's κ) is the quality gate for label reliability.</w:t>
            </w:r>
          </w:p>
        </w:tc>
      </w:tr>
    </w:tbl>
    <w:p>
      <w:pPr>
        <w:spacing w:after="0" w:before="0"/>
      </w:pPr>
      <w:r>
        <w:rPr>
          <w:sz w:val="22"/>
          <w:szCs w:val="22"/>
        </w:rPr>
        <w:t xml:space="preserve"/>
      </w:r>
    </w:p>
    <w:p>
      <w:pPr>
        <w:pStyle w:val="Heading2"/>
        <w:spacing w:after="100" w:before="280"/>
      </w:pPr>
      <w:r>
        <w:rPr>
          <w:rFonts w:ascii="Georgia" w:cs="Georgia" w:eastAsia="Georgia" w:hAnsi="Georgia"/>
          <w:b/>
          <w:bCs/>
          <w:color w:val="4A6FA5"/>
          <w:sz w:val="28"/>
          <w:szCs w:val="28"/>
        </w:rPr>
        <w:t xml:space="preserve">2.3 Data Acquisition Pipeline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gutenberg (Python library)</w:t>
            </w:r>
          </w:p>
          <w:p>
            <w:pPr>
              <w:spacing w:after="0" w:before="0"/>
            </w:pPr>
            <w:r>
              <w:rPr>
                <w:rFonts w:ascii="Courier New" w:cs="Courier New" w:eastAsia="Courier New" w:hAnsi="Courier New"/>
                <w:color w:val="1A1A2E"/>
                <w:sz w:val="18"/>
                <w:szCs w:val="18"/>
              </w:rPr>
              <w:t xml:space="preserve">    └── Fetch raw .txt by author/title</w:t>
            </w:r>
          </w:p>
          <w:p>
            <w:pPr>
              <w:spacing w:after="0" w:before="0"/>
            </w:pPr>
            <w:r>
              <w:rPr>
                <w:rFonts w:ascii="Courier New" w:cs="Courier New" w:eastAsia="Courier New" w:hAnsi="Courier New"/>
                <w:color w:val="1A1A2E"/>
                <w:sz w:val="18"/>
                <w:szCs w:val="18"/>
              </w:rPr>
              <w:t xml:space="preserve">    └── Sentence-segment with spaCy</w:t>
            </w:r>
          </w:p>
          <w:p>
            <w:pPr>
              <w:spacing w:after="0" w:before="0"/>
            </w:pPr>
            <w:r>
              <w:rPr>
                <w:rFonts w:ascii="Courier New" w:cs="Courier New" w:eastAsia="Courier New" w:hAnsi="Courier New"/>
                <w:color w:val="1A1A2E"/>
                <w:sz w:val="18"/>
                <w:szCs w:val="18"/>
              </w:rPr>
              <w:t xml:space="preserve">    └── Chunk into 200–500 word windows (sliding, stride=100)</w:t>
            </w:r>
          </w:p>
          <w:p>
            <w:pPr>
              <w:spacing w:after="0" w:before="0"/>
            </w:pPr>
            <w:r>
              <w:rPr>
                <w:rFonts w:ascii="Courier New" w:cs="Courier New" w:eastAsia="Courier New" w:hAnsi="Courier New"/>
                <w:color w:val="1A1A2E"/>
                <w:sz w:val="18"/>
                <w:szCs w:val="18"/>
              </w:rPr>
              <w:t xml:space="preserve">    └── Deduplicate (Jaccard similarity &gt; 0.85 → discard)</w:t>
            </w:r>
          </w:p>
          <w:p>
            <w:pPr>
              <w:spacing w:after="0" w:before="0"/>
            </w:pPr>
            <w:r>
              <w:rPr>
                <w:rFonts w:ascii="Courier New" w:cs="Courier New" w:eastAsia="Courier New" w:hAnsi="Courier New"/>
                <w:color w:val="1A1A2E"/>
                <w:sz w:val="18"/>
                <w:szCs w:val="18"/>
              </w:rPr>
              <w:t xml:space="preserve">    └── Apply hybrid labelling formula</w:t>
            </w:r>
          </w:p>
          <w:p>
            <w:pPr>
              <w:spacing w:after="0" w:before="0"/>
            </w:pPr>
            <w:r>
              <w:rPr>
                <w:rFonts w:ascii="Courier New" w:cs="Courier New" w:eastAsia="Courier New" w:hAnsi="Courier New"/>
                <w:color w:val="1A1A2E"/>
                <w:sz w:val="18"/>
                <w:szCs w:val="18"/>
              </w:rPr>
              <w:t xml:space="preserve">    └── Export as: corpus.csv [snippet_id, text, score, source, stratum]</w:t>
            </w:r>
          </w:p>
        </w:tc>
      </w:tr>
    </w:tbl>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3. Feature Engineering (The ML Core)</w:t>
      </w:r>
    </w:p>
    <w:p>
      <w:pPr>
        <w:spacing w:after="100" w:before="80"/>
      </w:pPr>
      <w:r>
        <w:rPr>
          <w:rFonts w:ascii="Calibri" w:cs="Calibri" w:eastAsia="Calibri" w:hAnsi="Calibri"/>
          <w:color w:val="333333"/>
          <w:sz w:val="22"/>
          <w:szCs w:val="22"/>
        </w:rPr>
        <w:t xml:space="preserve">This is the intellectual centrepiece of the project. Six feature families are extracted from each text snippet:</w:t>
      </w:r>
    </w:p>
    <w:p>
      <w:pPr>
        <w:pStyle w:val="Heading2"/>
        <w:spacing w:after="100" w:before="280"/>
      </w:pPr>
      <w:r>
        <w:rPr>
          <w:rFonts w:ascii="Georgia" w:cs="Georgia" w:eastAsia="Georgia" w:hAnsi="Georgia"/>
          <w:b/>
          <w:bCs/>
          <w:color w:val="4A6FA5"/>
          <w:sz w:val="28"/>
          <w:szCs w:val="28"/>
        </w:rPr>
        <w:t xml:space="preserve">Feature 1 — Syntactic Depth Index (SDI)</w:t>
      </w:r>
    </w:p>
    <w:p>
      <w:pPr>
        <w:spacing w:after="100" w:before="80"/>
      </w:pPr>
      <w:r>
        <w:rPr>
          <w:rFonts w:ascii="Calibri" w:cs="Calibri" w:eastAsia="Calibri" w:hAnsi="Calibri"/>
          <w:color w:val="333333"/>
          <w:sz w:val="22"/>
          <w:szCs w:val="22"/>
        </w:rPr>
        <w:t xml:space="preserve">What it captures: How many levels of grammatical subordination exist per sentence. Method: Use spaCy dependency parse trees. For each token, compute its depth from the sentence root via .head traversal. Average across all tokens, then across sentences.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def syntactic_depth(doc):</w:t>
            </w:r>
          </w:p>
          <w:p>
            <w:pPr>
              <w:spacing w:after="0" w:before="0"/>
            </w:pPr>
            <w:r>
              <w:rPr>
                <w:rFonts w:ascii="Courier New" w:cs="Courier New" w:eastAsia="Courier New" w:hAnsi="Courier New"/>
                <w:color w:val="1A1A2E"/>
                <w:sz w:val="18"/>
                <w:szCs w:val="18"/>
              </w:rPr>
              <w:t xml:space="preserve">    depths = []</w:t>
            </w:r>
          </w:p>
          <w:p>
            <w:pPr>
              <w:spacing w:after="0" w:before="0"/>
            </w:pPr>
            <w:r>
              <w:rPr>
                <w:rFonts w:ascii="Courier New" w:cs="Courier New" w:eastAsia="Courier New" w:hAnsi="Courier New"/>
                <w:color w:val="1A1A2E"/>
                <w:sz w:val="18"/>
                <w:szCs w:val="18"/>
              </w:rPr>
              <w:t xml:space="preserve">    for sent in doc.sents:</w:t>
            </w:r>
          </w:p>
          <w:p>
            <w:pPr>
              <w:spacing w:after="0" w:before="0"/>
            </w:pPr>
            <w:r>
              <w:rPr>
                <w:rFonts w:ascii="Courier New" w:cs="Courier New" w:eastAsia="Courier New" w:hAnsi="Courier New"/>
                <w:color w:val="1A1A2E"/>
                <w:sz w:val="18"/>
                <w:szCs w:val="18"/>
              </w:rPr>
              <w:t xml:space="preserve">        for token in sent:</w:t>
            </w:r>
          </w:p>
          <w:p>
            <w:pPr>
              <w:spacing w:after="0" w:before="0"/>
            </w:pPr>
            <w:r>
              <w:rPr>
                <w:rFonts w:ascii="Courier New" w:cs="Courier New" w:eastAsia="Courier New" w:hAnsi="Courier New"/>
                <w:color w:val="1A1A2E"/>
                <w:sz w:val="18"/>
                <w:szCs w:val="18"/>
              </w:rPr>
              <w:t xml:space="preserve">            depth = 0</w:t>
            </w:r>
          </w:p>
          <w:p>
            <w:pPr>
              <w:spacing w:after="0" w:before="0"/>
            </w:pPr>
            <w:r>
              <w:rPr>
                <w:rFonts w:ascii="Courier New" w:cs="Courier New" w:eastAsia="Courier New" w:hAnsi="Courier New"/>
                <w:color w:val="1A1A2E"/>
                <w:sz w:val="18"/>
                <w:szCs w:val="18"/>
              </w:rPr>
              <w:t xml:space="preserve">            current = token</w:t>
            </w:r>
          </w:p>
          <w:p>
            <w:pPr>
              <w:spacing w:after="0" w:before="0"/>
            </w:pPr>
            <w:r>
              <w:rPr>
                <w:rFonts w:ascii="Courier New" w:cs="Courier New" w:eastAsia="Courier New" w:hAnsi="Courier New"/>
                <w:color w:val="1A1A2E"/>
                <w:sz w:val="18"/>
                <w:szCs w:val="18"/>
              </w:rPr>
              <w:t xml:space="preserve">            while current.head != current:</w:t>
            </w:r>
          </w:p>
          <w:p>
            <w:pPr>
              <w:spacing w:after="0" w:before="0"/>
            </w:pPr>
            <w:r>
              <w:rPr>
                <w:rFonts w:ascii="Courier New" w:cs="Courier New" w:eastAsia="Courier New" w:hAnsi="Courier New"/>
                <w:color w:val="1A1A2E"/>
                <w:sz w:val="18"/>
                <w:szCs w:val="18"/>
              </w:rPr>
              <w:t xml:space="preserve">                current = current.head</w:t>
            </w:r>
          </w:p>
          <w:p>
            <w:pPr>
              <w:spacing w:after="0" w:before="0"/>
            </w:pPr>
            <w:r>
              <w:rPr>
                <w:rFonts w:ascii="Courier New" w:cs="Courier New" w:eastAsia="Courier New" w:hAnsi="Courier New"/>
                <w:color w:val="1A1A2E"/>
                <w:sz w:val="18"/>
                <w:szCs w:val="18"/>
              </w:rPr>
              <w:t xml:space="preserve">                depth += 1</w:t>
            </w:r>
          </w:p>
          <w:p>
            <w:pPr>
              <w:spacing w:after="0" w:before="0"/>
            </w:pPr>
            <w:r>
              <w:rPr>
                <w:rFonts w:ascii="Courier New" w:cs="Courier New" w:eastAsia="Courier New" w:hAnsi="Courier New"/>
                <w:color w:val="1A1A2E"/>
                <w:sz w:val="18"/>
                <w:szCs w:val="18"/>
              </w:rPr>
              <w:t xml:space="preserve">            depths.append(depth)</w:t>
            </w:r>
          </w:p>
          <w:p>
            <w:pPr>
              <w:spacing w:after="0" w:before="0"/>
            </w:pPr>
            <w:r>
              <w:rPr>
                <w:rFonts w:ascii="Courier New" w:cs="Courier New" w:eastAsia="Courier New" w:hAnsi="Courier New"/>
                <w:color w:val="1A1A2E"/>
                <w:sz w:val="18"/>
                <w:szCs w:val="18"/>
              </w:rPr>
              <w:t xml:space="preserve">    return np.mean(depths)</w:t>
            </w:r>
          </w:p>
        </w:tc>
      </w:tr>
    </w:tbl>
    <w:p>
      <w:pPr>
        <w:pStyle w:val="Heading2"/>
        <w:spacing w:after="100" w:before="280"/>
      </w:pPr>
      <w:r>
        <w:rPr>
          <w:rFonts w:ascii="Georgia" w:cs="Georgia" w:eastAsia="Georgia" w:hAnsi="Georgia"/>
          <w:b/>
          <w:bCs/>
          <w:color w:val="4A6FA5"/>
          <w:sz w:val="28"/>
          <w:szCs w:val="28"/>
        </w:rPr>
        <w:t xml:space="preserve">Feature 2 — Subclausal Density (SCD)</w:t>
      </w:r>
    </w:p>
    <w:p>
      <w:pPr>
        <w:spacing w:after="100" w:before="80"/>
      </w:pPr>
      <w:r>
        <w:rPr>
          <w:rFonts w:ascii="Calibri" w:cs="Calibri" w:eastAsia="Calibri" w:hAnsi="Calibri"/>
          <w:color w:val="333333"/>
          <w:sz w:val="22"/>
          <w:szCs w:val="22"/>
        </w:rPr>
        <w:t xml:space="preserve">What it captures: Average number of subordinate clauses per sentence (relative clauses, adverbial clauses, complement clauses). Method: Count tokens with .dep_ in {relcl, advcl, ccomp, xcomp, acl} per sentence.</w:t>
      </w:r>
    </w:p>
    <w:p>
      <w:pPr>
        <w:pStyle w:val="Heading2"/>
        <w:spacing w:after="100" w:before="280"/>
      </w:pPr>
      <w:r>
        <w:rPr>
          <w:rFonts w:ascii="Georgia" w:cs="Georgia" w:eastAsia="Georgia" w:hAnsi="Georgia"/>
          <w:b/>
          <w:bCs/>
          <w:color w:val="4A6FA5"/>
          <w:sz w:val="28"/>
          <w:szCs w:val="28"/>
        </w:rPr>
        <w:t xml:space="preserve">Feature 3 — Abstractness Ratio (AR)</w:t>
      </w:r>
    </w:p>
    <w:p>
      <w:pPr>
        <w:spacing w:after="100" w:before="80"/>
      </w:pPr>
      <w:r>
        <w:rPr>
          <w:rFonts w:ascii="Calibri" w:cs="Calibri" w:eastAsia="Calibri" w:hAnsi="Calibri"/>
          <w:color w:val="333333"/>
          <w:sz w:val="22"/>
          <w:szCs w:val="22"/>
        </w:rPr>
        <w:t xml:space="preserve">What it captures: The ratio of abstract nouns to total nouns. Method: Use WordNet (nltk) to classify nouns, supplemented by a curated Philosophical Abstract Noun Lexicon — a hand-compiled list of ~500 domain abstractions (e.g., Being, Essence, Dasein, Will, Dialectic, Noumenon) that WordNet alone may misclassify.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AR = Count(Abstract Nouns) / (Count(Total Nouns) + ε)</w:t>
            </w:r>
          </w:p>
        </w:tc>
      </w:tr>
    </w:tbl>
    <w:p>
      <w:pPr>
        <w:pStyle w:val="Heading2"/>
        <w:spacing w:after="100" w:before="280"/>
      </w:pPr>
      <w:r>
        <w:rPr>
          <w:rFonts w:ascii="Georgia" w:cs="Georgia" w:eastAsia="Georgia" w:hAnsi="Georgia"/>
          <w:b/>
          <w:bCs/>
          <w:color w:val="4A6FA5"/>
          <w:sz w:val="28"/>
          <w:szCs w:val="28"/>
        </w:rPr>
        <w:t xml:space="preserve">Feature 4 — Lexical Density (LD)</w:t>
      </w:r>
    </w:p>
    <w:p>
      <w:pPr>
        <w:spacing w:after="100" w:before="80"/>
      </w:pPr>
      <w:r>
        <w:rPr>
          <w:rFonts w:ascii="Calibri" w:cs="Calibri" w:eastAsia="Calibri" w:hAnsi="Calibri"/>
          <w:color w:val="333333"/>
          <w:sz w:val="22"/>
          <w:szCs w:val="22"/>
        </w:rPr>
        <w:t xml:space="preserve">What it captures: The ratio of content words (nouns, verbs, adjectives, adverbs) to total words. Higher density = more information per word.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CONTENT_POS = {'NOUN', 'VERB', 'ADJ', 'ADV'}</w:t>
            </w:r>
          </w:p>
          <w:p>
            <w:pPr>
              <w:spacing w:after="0" w:before="0"/>
            </w:pPr>
            <w:r>
              <w:rPr>
                <w:rFonts w:ascii="Courier New" w:cs="Courier New" w:eastAsia="Courier New" w:hAnsi="Courier New"/>
                <w:color w:val="1A1A2E"/>
                <w:sz w:val="18"/>
                <w:szCs w:val="18"/>
              </w:rPr>
              <w:t xml:space="preserve">LD = sum(1 for t in doc if t.pos_ in CONTENT_POS) / len(doc)</w:t>
            </w:r>
          </w:p>
        </w:tc>
      </w:tr>
    </w:tbl>
    <w:p>
      <w:pPr>
        <w:pStyle w:val="Heading2"/>
        <w:spacing w:after="100" w:before="280"/>
      </w:pPr>
      <w:r>
        <w:rPr>
          <w:rFonts w:ascii="Georgia" w:cs="Georgia" w:eastAsia="Georgia" w:hAnsi="Georgia"/>
          <w:b/>
          <w:bCs/>
          <w:color w:val="4A6FA5"/>
          <w:sz w:val="28"/>
          <w:szCs w:val="28"/>
        </w:rPr>
        <w:t xml:space="preserve">Feature 5 — Vocabulary Rareness Score (VRS)</w:t>
      </w:r>
    </w:p>
    <w:p>
      <w:pPr>
        <w:spacing w:after="100" w:before="80"/>
      </w:pPr>
      <w:r>
        <w:rPr>
          <w:rFonts w:ascii="Calibri" w:cs="Calibri" w:eastAsia="Calibri" w:hAnsi="Calibri"/>
          <w:color w:val="333333"/>
          <w:sz w:val="22"/>
          <w:szCs w:val="22"/>
        </w:rPr>
        <w:t xml:space="preserve">What it captures: How infrequent the words are in standard English usage. Method: Use the wordfreq library to get Zipf frequency scores for each content word. Zipf scale: 6+ = very common, below 3 = rare/academic. A higher VRS indicates vocabulary further from common usage.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VRS = (1/|C|) · Σ (7 - zipf_frequency(w, 'en'))  for w in 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 = set of content words in the snippet</w:t>
            </w:r>
          </w:p>
        </w:tc>
      </w:tr>
    </w:tbl>
    <w:p>
      <w:pPr>
        <w:pStyle w:val="Heading2"/>
        <w:spacing w:after="100" w:before="280"/>
      </w:pPr>
      <w:r>
        <w:rPr>
          <w:rFonts w:ascii="Georgia" w:cs="Georgia" w:eastAsia="Georgia" w:hAnsi="Georgia"/>
          <w:b/>
          <w:bCs/>
          <w:color w:val="4A6FA5"/>
          <w:sz w:val="28"/>
          <w:szCs w:val="28"/>
        </w:rPr>
        <w:t xml:space="preserve">Feature 6 — Type-Token Ratio (MATTR)</w:t>
      </w:r>
    </w:p>
    <w:p>
      <w:pPr>
        <w:spacing w:after="100" w:before="80"/>
      </w:pPr>
      <w:r>
        <w:rPr>
          <w:rFonts w:ascii="Calibri" w:cs="Calibri" w:eastAsia="Calibri" w:hAnsi="Calibri"/>
          <w:color w:val="333333"/>
          <w:sz w:val="22"/>
          <w:szCs w:val="22"/>
        </w:rPr>
        <w:t xml:space="preserve">What it captures: Lexical diversity — how many unique words are used relative to total words. Method: Moving Average Type-Token Ratio with a sliding window of 50 tokens to control for text length bias.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MATTR = (1 / N-w) · Σ (unique tokens in window_i / w)</w:t>
            </w:r>
          </w:p>
        </w:tc>
      </w:tr>
    </w:tbl>
    <w:p>
      <w:pPr>
        <w:pStyle w:val="Heading2"/>
        <w:spacing w:after="100" w:before="280"/>
      </w:pPr>
      <w:r>
        <w:rPr>
          <w:rFonts w:ascii="Georgia" w:cs="Georgia" w:eastAsia="Georgia" w:hAnsi="Georgia"/>
          <w:b/>
          <w:bCs/>
          <w:color w:val="4A6FA5"/>
          <w:sz w:val="28"/>
          <w:szCs w:val="28"/>
        </w:rPr>
        <w:t xml:space="preserve">Summary: Feature Vector</w:t>
      </w:r>
    </w:p>
    <w:p>
      <w:pPr>
        <w:spacing w:after="100" w:before="80"/>
      </w:pPr>
      <w:r>
        <w:rPr>
          <w:rFonts w:ascii="Calibri" w:cs="Calibri" w:eastAsia="Calibri" w:hAnsi="Calibri"/>
          <w:color w:val="333333"/>
          <w:sz w:val="22"/>
          <w:szCs w:val="22"/>
        </w:rPr>
        <w:t xml:space="preserve">Each snippet T_i is transformed into a feature vector in R^6:</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x_i = [SDI, SCD, AR, LD, VRS, MATTR]</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Bonus Feature (optional): Sentence length variance. Philosophical texts often mix very long, recursive sentences with short, aphoristic declarations. High variance itself signals stylistic deliberateness.</w:t>
            </w:r>
          </w:p>
        </w:tc>
      </w:tr>
    </w:tbl>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4. Model Selection &amp; Training</w:t>
      </w:r>
    </w:p>
    <w:p>
      <w:pPr>
        <w:pStyle w:val="Heading2"/>
        <w:spacing w:after="100" w:before="280"/>
      </w:pPr>
      <w:r>
        <w:rPr>
          <w:rFonts w:ascii="Georgia" w:cs="Georgia" w:eastAsia="Georgia" w:hAnsi="Georgia"/>
          <w:b/>
          <w:bCs/>
          <w:color w:val="4A6FA5"/>
          <w:sz w:val="28"/>
          <w:szCs w:val="28"/>
        </w:rPr>
        <w:t xml:space="preserve">4.1 Candidate Models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63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Ridge Regression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Fast baseline; handles collinear linguistic features via L2 regularisation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SVR (RBF kernel)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Captures non-linear relationships in the feature space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Gradient Boosting / XGBoost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Handles feature interactions; strong empirical performer on tabular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Elastic Net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Useful if feature selection is desired (L1 + L2 combined)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Recommendation: Train all four, compare on held-out test set. Use SVR-RBF or XGBoost as the final model, with Ridge as the interpretable fallback.</w:t>
            </w:r>
          </w:p>
        </w:tc>
      </w:tr>
    </w:tbl>
    <w:p>
      <w:pPr>
        <w:spacing w:after="0" w:before="0"/>
      </w:pPr>
      <w:r>
        <w:rPr>
          <w:sz w:val="22"/>
          <w:szCs w:val="22"/>
        </w:rPr>
        <w:t xml:space="preserve"/>
      </w:r>
    </w:p>
    <w:p>
      <w:pPr>
        <w:pStyle w:val="Heading2"/>
        <w:spacing w:after="100" w:before="280"/>
      </w:pPr>
      <w:r>
        <w:rPr>
          <w:rFonts w:ascii="Georgia" w:cs="Georgia" w:eastAsia="Georgia" w:hAnsi="Georgia"/>
          <w:b/>
          <w:bCs/>
          <w:color w:val="4A6FA5"/>
          <w:sz w:val="28"/>
          <w:szCs w:val="28"/>
        </w:rPr>
        <w:t xml:space="preserve">4.2 Training Protocol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Dataset Split:</w:t>
            </w:r>
          </w:p>
          <w:p>
            <w:pPr>
              <w:spacing w:after="0" w:before="0"/>
            </w:pPr>
            <w:r>
              <w:rPr>
                <w:rFonts w:ascii="Courier New" w:cs="Courier New" w:eastAsia="Courier New" w:hAnsi="Courier New"/>
                <w:color w:val="1A1A2E"/>
                <w:sz w:val="18"/>
                <w:szCs w:val="18"/>
              </w:rPr>
              <w:t xml:space="preserve">  ├── Train:      70%  (~3,500 snippets)</w:t>
            </w:r>
          </w:p>
          <w:p>
            <w:pPr>
              <w:spacing w:after="0" w:before="0"/>
            </w:pPr>
            <w:r>
              <w:rPr>
                <w:rFonts w:ascii="Courier New" w:cs="Courier New" w:eastAsia="Courier New" w:hAnsi="Courier New"/>
                <w:color w:val="1A1A2E"/>
                <w:sz w:val="18"/>
                <w:szCs w:val="18"/>
              </w:rPr>
              <w:t xml:space="preserve">  ├── Validation: 15%  (~750 snippets)  — hyperparameter tuning</w:t>
            </w:r>
          </w:p>
          <w:p>
            <w:pPr>
              <w:spacing w:after="0" w:before="0"/>
            </w:pPr>
            <w:r>
              <w:rPr>
                <w:rFonts w:ascii="Courier New" w:cs="Courier New" w:eastAsia="Courier New" w:hAnsi="Courier New"/>
                <w:color w:val="1A1A2E"/>
                <w:sz w:val="18"/>
                <w:szCs w:val="18"/>
              </w:rPr>
              <w:t xml:space="preserve">  └── Test:       15%  (~750 snippets)  — final evaluation (touch once)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Cross-Validation: 5-fold on training set</w:t>
            </w:r>
          </w:p>
          <w:p>
            <w:pPr>
              <w:spacing w:after="0" w:before="0"/>
            </w:pPr>
            <w:r>
              <w:rPr>
                <w:rFonts w:ascii="Courier New" w:cs="Courier New" w:eastAsia="Courier New" w:hAnsi="Courier New"/>
                <w:color w:val="1A1A2E"/>
                <w:sz w:val="18"/>
                <w:szCs w:val="18"/>
              </w:rPr>
              <w:t xml:space="preserve">Hyperparameter Tuning: GridSearchCV / RandomizedSearchCV</w:t>
            </w:r>
          </w:p>
        </w:tc>
      </w:tr>
    </w:tbl>
    <w:p>
      <w:pPr>
        <w:pStyle w:val="Heading2"/>
        <w:spacing w:after="100" w:before="280"/>
      </w:pPr>
      <w:r>
        <w:rPr>
          <w:rFonts w:ascii="Georgia" w:cs="Georgia" w:eastAsia="Georgia" w:hAnsi="Georgia"/>
          <w:b/>
          <w:bCs/>
          <w:color w:val="4A6FA5"/>
          <w:sz w:val="28"/>
          <w:szCs w:val="28"/>
        </w:rPr>
        <w:t xml:space="preserve">4.3 Evaluation Metrics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3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Target Threshold</w:t>
            </w:r>
          </w:p>
        </w:tc>
        <w:tc>
          <w:tcPr>
            <w:tcW w:type="dxa" w:w="5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8.0 points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Practical tolerance for a 0–100 scale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R² Score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&gt; 0.75</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Explains ≥75% of variance in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Spearman ρ</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&gt; 0.80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Ordinal ranking of snippets should be preserved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Stratified MAE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&lt; 10.0 per stratum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No single stratum should be catastrophically wrong</w:t>
            </w:r>
          </w:p>
        </w:tc>
      </w:tr>
    </w:tbl>
    <w:p>
      <w:pPr>
        <w:spacing w:after="0" w:before="0"/>
      </w:pPr>
      <w:r>
        <w:rPr>
          <w:sz w:val="22"/>
          <w:szCs w:val="22"/>
        </w:rPr>
        <w:t xml:space="preserve"/>
      </w:r>
    </w:p>
    <w:p>
      <w:pPr>
        <w:pStyle w:val="Heading2"/>
        <w:spacing w:after="100" w:before="280"/>
      </w:pPr>
      <w:r>
        <w:rPr>
          <w:rFonts w:ascii="Georgia" w:cs="Georgia" w:eastAsia="Georgia" w:hAnsi="Georgia"/>
          <w:b/>
          <w:bCs/>
          <w:color w:val="4A6FA5"/>
          <w:sz w:val="28"/>
          <w:szCs w:val="28"/>
        </w:rPr>
        <w:t xml:space="preserve">4.4 Interpretability Layer — SHAP</w:t>
      </w:r>
    </w:p>
    <w:p>
      <w:pPr>
        <w:spacing w:after="100" w:before="80"/>
      </w:pPr>
      <w:r>
        <w:rPr>
          <w:rFonts w:ascii="Calibri" w:cs="Calibri" w:eastAsia="Calibri" w:hAnsi="Calibri"/>
          <w:color w:val="333333"/>
          <w:sz w:val="22"/>
          <w:szCs w:val="22"/>
        </w:rPr>
        <w:t xml:space="preserve">Integrate SHAP (SHapley Additive exPlanations) to decompose each prediction into per-feature contributions. This powers the Linguistic Fingerprint breakdown in the frontend — users see why a text scored what it scored, not just the score itself.</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shap</w:t>
            </w:r>
          </w:p>
          <w:p>
            <w:pPr>
              <w:spacing w:after="0" w:before="0"/>
            </w:pPr>
            <w:r>
              <w:rPr>
                <w:rFonts w:ascii="Courier New" w:cs="Courier New" w:eastAsia="Courier New" w:hAnsi="Courier New"/>
                <w:color w:val="1A1A2E"/>
                <w:sz w:val="18"/>
                <w:szCs w:val="18"/>
              </w:rPr>
              <w:t xml:space="preserve">explainer = shap.Explainer(model, X_train)</w:t>
            </w:r>
          </w:p>
          <w:p>
            <w:pPr>
              <w:spacing w:after="0" w:before="0"/>
            </w:pPr>
            <w:r>
              <w:rPr>
                <w:rFonts w:ascii="Courier New" w:cs="Courier New" w:eastAsia="Courier New" w:hAnsi="Courier New"/>
                <w:color w:val="1A1A2E"/>
                <w:sz w:val="18"/>
                <w:szCs w:val="18"/>
              </w:rPr>
              <w:t xml:space="preserve">shap_values = explainer(X_test)</w:t>
            </w:r>
          </w:p>
        </w:tc>
      </w:tr>
    </w:tbl>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5. Backend API Specification</w:t>
      </w:r>
    </w:p>
    <w:p>
      <w:pPr>
        <w:spacing w:after="100" w:before="80"/>
      </w:pPr>
      <w:r>
        <w:rPr>
          <w:rFonts w:ascii="Calibri" w:cs="Calibri" w:eastAsia="Calibri" w:hAnsi="Calibri"/>
          <w:color w:val="333333"/>
          <w:sz w:val="22"/>
          <w:szCs w:val="22"/>
        </w:rPr>
        <w:t xml:space="preserve">Framework: FastAPI (preferred over Flask for async support and auto-generated OpenAPI docs).</w:t>
      </w:r>
    </w:p>
    <w:p>
      <w:pPr>
        <w:pStyle w:val="Heading2"/>
        <w:spacing w:after="100" w:before="280"/>
      </w:pPr>
      <w:r>
        <w:rPr>
          <w:rFonts w:ascii="Georgia" w:cs="Georgia" w:eastAsia="Georgia" w:hAnsi="Georgia"/>
          <w:b/>
          <w:bCs/>
          <w:color w:val="4A6FA5"/>
          <w:sz w:val="28"/>
          <w:szCs w:val="28"/>
        </w:rPr>
        <w:t xml:space="preserve">Endpoint: POST /api/predict</w:t>
      </w:r>
    </w:p>
    <w:p>
      <w:pPr>
        <w:pStyle w:val="Heading3"/>
        <w:spacing w:after="80" w:before="200"/>
      </w:pPr>
      <w:r>
        <w:rPr>
          <w:rFonts w:ascii="Georgia" w:cs="Georgia" w:eastAsia="Georgia" w:hAnsi="Georgia"/>
          <w:b/>
          <w:bCs/>
          <w:color w:val="1A1A2E"/>
          <w:sz w:val="24"/>
          <w:szCs w:val="24"/>
        </w:rPr>
        <w:t xml:space="preserve">Request Body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"text": "string (min 50 words, max 2000 words)"</w:t>
            </w:r>
          </w:p>
          <w:p>
            <w:pPr>
              <w:spacing w:after="0" w:before="0"/>
            </w:pPr>
            <w:r>
              <w:rPr>
                <w:rFonts w:ascii="Courier New" w:cs="Courier New" w:eastAsia="Courier New" w:hAnsi="Courier New"/>
                <w:color w:val="1A1A2E"/>
                <w:sz w:val="18"/>
                <w:szCs w:val="18"/>
              </w:rPr>
              <w:t xml:space="preserve">}</w:t>
            </w:r>
          </w:p>
        </w:tc>
      </w:tr>
    </w:tbl>
    <w:p>
      <w:pPr>
        <w:pStyle w:val="Heading3"/>
        <w:spacing w:after="80" w:before="200"/>
      </w:pPr>
      <w:r>
        <w:rPr>
          <w:rFonts w:ascii="Georgia" w:cs="Georgia" w:eastAsia="Georgia" w:hAnsi="Georgia"/>
          <w:b/>
          <w:bCs/>
          <w:color w:val="1A1A2E"/>
          <w:sz w:val="24"/>
          <w:szCs w:val="24"/>
        </w:rPr>
        <w:t xml:space="preserve">Response Body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"complexity_score": 74.3,</w:t>
            </w:r>
          </w:p>
          <w:p>
            <w:pPr>
              <w:spacing w:after="0" w:before="0"/>
            </w:pPr>
            <w:r>
              <w:rPr>
                <w:rFonts w:ascii="Courier New" w:cs="Courier New" w:eastAsia="Courier New" w:hAnsi="Courier New"/>
                <w:color w:val="1A1A2E"/>
                <w:sz w:val="18"/>
                <w:szCs w:val="18"/>
              </w:rPr>
              <w:t xml:space="preserve">  "confidence_interval": [68.1, 80.5],</w:t>
            </w:r>
          </w:p>
          <w:p>
            <w:pPr>
              <w:spacing w:after="0" w:before="0"/>
            </w:pPr>
            <w:r>
              <w:rPr>
                <w:rFonts w:ascii="Courier New" w:cs="Courier New" w:eastAsia="Courier New" w:hAnsi="Courier New"/>
                <w:color w:val="1A1A2E"/>
                <w:sz w:val="18"/>
                <w:szCs w:val="18"/>
              </w:rPr>
              <w:t xml:space="preserve">  "stratum": "Dense Fiction &amp; Essays",</w:t>
            </w:r>
          </w:p>
          <w:p>
            <w:pPr>
              <w:spacing w:after="0" w:before="0"/>
            </w:pPr>
            <w:r>
              <w:rPr>
                <w:rFonts w:ascii="Courier New" w:cs="Courier New" w:eastAsia="Courier New" w:hAnsi="Courier New"/>
                <w:color w:val="1A1A2E"/>
                <w:sz w:val="18"/>
                <w:szCs w:val="18"/>
              </w:rPr>
              <w:t xml:space="preserve">  "feature_breakdown": {</w:t>
            </w:r>
          </w:p>
          <w:p>
            <w:pPr>
              <w:spacing w:after="0" w:before="0"/>
            </w:pPr>
            <w:r>
              <w:rPr>
                <w:rFonts w:ascii="Courier New" w:cs="Courier New" w:eastAsia="Courier New" w:hAnsi="Courier New"/>
                <w:color w:val="1A1A2E"/>
                <w:sz w:val="18"/>
                <w:szCs w:val="18"/>
              </w:rPr>
              <w:t xml:space="preserve">    "syntactic_depth_index": 3.82,</w:t>
            </w:r>
          </w:p>
          <w:p>
            <w:pPr>
              <w:spacing w:after="0" w:before="0"/>
            </w:pPr>
            <w:r>
              <w:rPr>
                <w:rFonts w:ascii="Courier New" w:cs="Courier New" w:eastAsia="Courier New" w:hAnsi="Courier New"/>
                <w:color w:val="1A1A2E"/>
                <w:sz w:val="18"/>
                <w:szCs w:val="18"/>
              </w:rPr>
              <w:t xml:space="preserve">    "subclausal_density": 1.74,</w:t>
            </w:r>
          </w:p>
          <w:p>
            <w:pPr>
              <w:spacing w:after="0" w:before="0"/>
            </w:pPr>
            <w:r>
              <w:rPr>
                <w:rFonts w:ascii="Courier New" w:cs="Courier New" w:eastAsia="Courier New" w:hAnsi="Courier New"/>
                <w:color w:val="1A1A2E"/>
                <w:sz w:val="18"/>
                <w:szCs w:val="18"/>
              </w:rPr>
              <w:t xml:space="preserve">    "abstractness_ratio": 0.61,</w:t>
            </w:r>
          </w:p>
          <w:p>
            <w:pPr>
              <w:spacing w:after="0" w:before="0"/>
            </w:pPr>
            <w:r>
              <w:rPr>
                <w:rFonts w:ascii="Courier New" w:cs="Courier New" w:eastAsia="Courier New" w:hAnsi="Courier New"/>
                <w:color w:val="1A1A2E"/>
                <w:sz w:val="18"/>
                <w:szCs w:val="18"/>
              </w:rPr>
              <w:t xml:space="preserve">    "lexical_density": 0.54,</w:t>
            </w:r>
          </w:p>
          <w:p>
            <w:pPr>
              <w:spacing w:after="0" w:before="0"/>
            </w:pPr>
            <w:r>
              <w:rPr>
                <w:rFonts w:ascii="Courier New" w:cs="Courier New" w:eastAsia="Courier New" w:hAnsi="Courier New"/>
                <w:color w:val="1A1A2E"/>
                <w:sz w:val="18"/>
                <w:szCs w:val="18"/>
              </w:rPr>
              <w:t xml:space="preserve">    "vocabulary_rareness": 2.31,</w:t>
            </w:r>
          </w:p>
          <w:p>
            <w:pPr>
              <w:spacing w:after="0" w:before="0"/>
            </w:pPr>
            <w:r>
              <w:rPr>
                <w:rFonts w:ascii="Courier New" w:cs="Courier New" w:eastAsia="Courier New" w:hAnsi="Courier New"/>
                <w:color w:val="1A1A2E"/>
                <w:sz w:val="18"/>
                <w:szCs w:val="18"/>
              </w:rPr>
              <w:t xml:space="preserve">    "mattr": 0.73</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"shap_contributions": {</w:t>
            </w:r>
          </w:p>
          <w:p>
            <w:pPr>
              <w:spacing w:after="0" w:before="0"/>
            </w:pPr>
            <w:r>
              <w:rPr>
                <w:rFonts w:ascii="Courier New" w:cs="Courier New" w:eastAsia="Courier New" w:hAnsi="Courier New"/>
                <w:color w:val="1A1A2E"/>
                <w:sz w:val="18"/>
                <w:szCs w:val="18"/>
              </w:rPr>
              <w:t xml:space="preserve">    "abstractness_ratio": +12.4,</w:t>
            </w:r>
          </w:p>
          <w:p>
            <w:pPr>
              <w:spacing w:after="0" w:before="0"/>
            </w:pPr>
            <w:r>
              <w:rPr>
                <w:rFonts w:ascii="Courier New" w:cs="Courier New" w:eastAsia="Courier New" w:hAnsi="Courier New"/>
                <w:color w:val="1A1A2E"/>
                <w:sz w:val="18"/>
                <w:szCs w:val="18"/>
              </w:rPr>
              <w:t xml:space="preserve">    "vocabulary_rareness": +9.1,</w:t>
            </w:r>
          </w:p>
          <w:p>
            <w:pPr>
              <w:spacing w:after="0" w:before="0"/>
            </w:pPr>
            <w:r>
              <w:rPr>
                <w:rFonts w:ascii="Courier New" w:cs="Courier New" w:eastAsia="Courier New" w:hAnsi="Courier New"/>
                <w:color w:val="1A1A2E"/>
                <w:sz w:val="18"/>
                <w:szCs w:val="18"/>
              </w:rPr>
              <w:t xml:space="preserve">    "syntactic_depth_index": +6.8</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"closest_author_profile": "Nietzsche / Emerson tier",</w:t>
            </w:r>
          </w:p>
          <w:p>
            <w:pPr>
              <w:spacing w:after="0" w:before="0"/>
            </w:pPr>
            <w:r>
              <w:rPr>
                <w:rFonts w:ascii="Courier New" w:cs="Courier New" w:eastAsia="Courier New" w:hAnsi="Courier New"/>
                <w:color w:val="1A1A2E"/>
                <w:sz w:val="18"/>
                <w:szCs w:val="18"/>
              </w:rPr>
              <w:t xml:space="preserve">  "processing_time_ms": 143</w:t>
            </w:r>
          </w:p>
          <w:p>
            <w:pPr>
              <w:spacing w:after="0" w:before="0"/>
            </w:pPr>
            <w:r>
              <w:rPr>
                <w:rFonts w:ascii="Courier New" w:cs="Courier New" w:eastAsia="Courier New" w:hAnsi="Courier New"/>
                <w:color w:val="1A1A2E"/>
                <w:sz w:val="18"/>
                <w:szCs w:val="18"/>
              </w:rPr>
              <w:t xml:space="preserve">}</w:t>
            </w:r>
          </w:p>
        </w:tc>
      </w:tr>
    </w:tbl>
    <w:p>
      <w:pPr>
        <w:spacing w:after="0" w:before="0"/>
      </w:pPr>
      <w:r>
        <w:rPr>
          <w:sz w:val="22"/>
          <w:szCs w:val="22"/>
        </w:rPr>
        <w:t xml:space="preserve"/>
      </w:r>
    </w:p>
    <w:p>
      <w:pPr>
        <w:pStyle w:val="Heading3"/>
        <w:spacing w:after="80" w:before="200"/>
      </w:pPr>
      <w:r>
        <w:rPr>
          <w:rFonts w:ascii="Georgia" w:cs="Georgia" w:eastAsia="Georgia" w:hAnsi="Georgia"/>
          <w:b/>
          <w:bCs/>
          <w:color w:val="1A1A2E"/>
          <w:sz w:val="24"/>
          <w:szCs w:val="24"/>
        </w:rPr>
        <w:t xml:space="preserve">Additional Endpoints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56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/api/health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Liveness check for Docker/orchestration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/api/compare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POST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333333"/>
                <w:sz w:val="20"/>
                <w:szCs w:val="20"/>
              </w:rPr>
              <w:t xml:space="preserve">Two texts; returns side-by-side feature breakdown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/api/corpus/stats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Training corpus statistics and model metadata</w:t>
            </w:r>
          </w:p>
        </w:tc>
      </w:tr>
    </w:tbl>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6. Frontend Experience</w:t>
      </w:r>
    </w:p>
    <w:p>
      <w:pPr>
        <w:spacing w:after="100" w:before="80"/>
      </w:pPr>
      <w:r>
        <w:rPr>
          <w:rFonts w:ascii="Calibri" w:cs="Calibri" w:eastAsia="Calibri" w:hAnsi="Calibri"/>
          <w:color w:val="333333"/>
          <w:sz w:val="22"/>
          <w:szCs w:val="22"/>
        </w:rPr>
        <w:t xml:space="preserve">Framework: Vue.js 3 (Composition API) with Vite build tooling.</w:t>
      </w:r>
    </w:p>
    <w:p>
      <w:pPr>
        <w:pStyle w:val="Heading2"/>
        <w:spacing w:after="100" w:before="280"/>
      </w:pPr>
      <w:r>
        <w:rPr>
          <w:rFonts w:ascii="Georgia" w:cs="Georgia" w:eastAsia="Georgia" w:hAnsi="Georgia"/>
          <w:b/>
          <w:bCs/>
          <w:color w:val="4A6FA5"/>
          <w:sz w:val="28"/>
          <w:szCs w:val="28"/>
        </w:rPr>
        <w:t xml:space="preserve">6.1 UI Panels</w:t>
      </w:r>
    </w:p>
    <w:p>
      <w:pPr>
        <w:pStyle w:val="Heading3"/>
        <w:spacing w:after="80" w:before="200"/>
      </w:pPr>
      <w:r>
        <w:rPr>
          <w:rFonts w:ascii="Georgia" w:cs="Georgia" w:eastAsia="Georgia" w:hAnsi="Georgia"/>
          <w:b/>
          <w:bCs/>
          <w:color w:val="1A1A2E"/>
          <w:sz w:val="24"/>
          <w:szCs w:val="24"/>
        </w:rPr>
        <w:t xml:space="preserve">Panel 1 — The Editor</w:t>
      </w:r>
    </w:p>
    <w:p>
      <w:pPr>
        <w:pStyle w:val="ListParagraph"/>
        <w:numPr>
          <w:ilvl w:val="0"/>
          <w:numId w:val="2"/>
        </w:numPr>
        <w:spacing w:after="60" w:before="60"/>
      </w:pPr>
      <w:r>
        <w:rPr>
          <w:rFonts w:ascii="Calibri" w:cs="Calibri" w:eastAsia="Calibri" w:hAnsi="Calibri"/>
          <w:color w:val="333333"/>
          <w:sz w:val="22"/>
          <w:szCs w:val="22"/>
        </w:rPr>
        <w:t xml:space="preserve">Distraction-free, monospace text area with live word count</w:t>
      </w:r>
    </w:p>
    <w:p>
      <w:pPr>
        <w:pStyle w:val="ListParagraph"/>
        <w:numPr>
          <w:ilvl w:val="0"/>
          <w:numId w:val="2"/>
        </w:numPr>
        <w:spacing w:after="60" w:before="60"/>
      </w:pPr>
      <w:r>
        <w:rPr>
          <w:rFonts w:ascii="Calibri" w:cs="Calibri" w:eastAsia="Calibri" w:hAnsi="Calibri"/>
          <w:color w:val="333333"/>
          <w:sz w:val="22"/>
          <w:szCs w:val="22"/>
        </w:rPr>
        <w:t xml:space="preserve">Real-time score update with debounce (700ms after typing stops)</w:t>
      </w:r>
    </w:p>
    <w:p>
      <w:pPr>
        <w:pStyle w:val="ListParagraph"/>
        <w:numPr>
          <w:ilvl w:val="0"/>
          <w:numId w:val="2"/>
        </w:numPr>
        <w:spacing w:after="60" w:before="60"/>
      </w:pPr>
      <w:r>
        <w:rPr>
          <w:rFonts w:ascii="Calibri" w:cs="Calibri" w:eastAsia="Calibri" w:hAnsi="Calibri"/>
          <w:color w:val="333333"/>
          <w:sz w:val="22"/>
          <w:szCs w:val="22"/>
        </w:rPr>
        <w:t xml:space="preserve">"Analyse" button for manual trigger</w:t>
      </w:r>
    </w:p>
    <w:p>
      <w:pPr>
        <w:pStyle w:val="Heading3"/>
        <w:spacing w:after="80" w:before="200"/>
      </w:pPr>
      <w:r>
        <w:rPr>
          <w:rFonts w:ascii="Georgia" w:cs="Georgia" w:eastAsia="Georgia" w:hAnsi="Georgia"/>
          <w:b/>
          <w:bCs/>
          <w:color w:val="1A1A2E"/>
          <w:sz w:val="24"/>
          <w:szCs w:val="24"/>
        </w:rPr>
        <w:t xml:space="preserve">Panel 2 — The Complexity Gauge</w:t>
      </w:r>
    </w:p>
    <w:p>
      <w:pPr>
        <w:pStyle w:val="ListParagraph"/>
        <w:numPr>
          <w:ilvl w:val="0"/>
          <w:numId w:val="2"/>
        </w:numPr>
        <w:spacing w:after="60" w:before="60"/>
      </w:pPr>
      <w:r>
        <w:rPr>
          <w:rFonts w:ascii="Calibri" w:cs="Calibri" w:eastAsia="Calibri" w:hAnsi="Calibri"/>
          <w:color w:val="333333"/>
          <w:sz w:val="22"/>
          <w:szCs w:val="22"/>
        </w:rPr>
        <w:t xml:space="preserve">A large, animated arc gauge (0–100)</w:t>
      </w:r>
    </w:p>
    <w:p>
      <w:pPr>
        <w:pStyle w:val="ListParagraph"/>
        <w:numPr>
          <w:ilvl w:val="0"/>
          <w:numId w:val="2"/>
        </w:numPr>
        <w:spacing w:after="60" w:before="60"/>
      </w:pPr>
      <w:r>
        <w:rPr>
          <w:rFonts w:ascii="Calibri" w:cs="Calibri" w:eastAsia="Calibri" w:hAnsi="Calibri"/>
          <w:color w:val="333333"/>
          <w:sz w:val="22"/>
          <w:szCs w:val="22"/>
        </w:rPr>
        <w:t xml:space="preserve">Colour-coded bands: Green (0–30) → Amber (30–60) → Deep Indigo (60–85) → Black (85–100)</w:t>
      </w:r>
    </w:p>
    <w:p>
      <w:pPr>
        <w:pStyle w:val="ListParagraph"/>
        <w:numPr>
          <w:ilvl w:val="0"/>
          <w:numId w:val="2"/>
        </w:numPr>
        <w:spacing w:after="60" w:before="60"/>
      </w:pPr>
      <w:r>
        <w:rPr>
          <w:rFonts w:ascii="Calibri" w:cs="Calibri" w:eastAsia="Calibri" w:hAnsi="Calibri"/>
          <w:color w:val="333333"/>
          <w:sz w:val="22"/>
          <w:szCs w:val="22"/>
        </w:rPr>
        <w:t xml:space="preserve">Dynamic label showing the nearest Author Tier (e.g., "Dostoevsky territory")</w:t>
      </w:r>
    </w:p>
    <w:p>
      <w:pPr>
        <w:pStyle w:val="Heading3"/>
        <w:spacing w:after="80" w:before="200"/>
      </w:pPr>
      <w:r>
        <w:rPr>
          <w:rFonts w:ascii="Georgia" w:cs="Georgia" w:eastAsia="Georgia" w:hAnsi="Georgia"/>
          <w:b/>
          <w:bCs/>
          <w:color w:val="1A1A2E"/>
          <w:sz w:val="24"/>
          <w:szCs w:val="24"/>
        </w:rPr>
        <w:t xml:space="preserve">Panel 3 — The Linguistic Fingerprint (Radar Chart)</w:t>
      </w:r>
    </w:p>
    <w:p>
      <w:pPr>
        <w:pStyle w:val="ListParagraph"/>
        <w:numPr>
          <w:ilvl w:val="0"/>
          <w:numId w:val="2"/>
        </w:numPr>
        <w:spacing w:after="60" w:before="60"/>
      </w:pPr>
      <w:r>
        <w:rPr>
          <w:rFonts w:ascii="Calibri" w:cs="Calibri" w:eastAsia="Calibri" w:hAnsi="Calibri"/>
          <w:color w:val="333333"/>
          <w:sz w:val="22"/>
          <w:szCs w:val="22"/>
        </w:rPr>
        <w:t xml:space="preserve">Six axes: Syntactic Depth, Subclausal Density, Abstractness, Lexical Density, Vocabulary Rareness, Lexical Diversity</w:t>
      </w:r>
    </w:p>
    <w:p>
      <w:pPr>
        <w:pStyle w:val="ListParagraph"/>
        <w:numPr>
          <w:ilvl w:val="0"/>
          <w:numId w:val="2"/>
        </w:numPr>
        <w:spacing w:after="60" w:before="60"/>
      </w:pPr>
      <w:r>
        <w:rPr>
          <w:rFonts w:ascii="Calibri" w:cs="Calibri" w:eastAsia="Calibri" w:hAnsi="Calibri"/>
          <w:color w:val="333333"/>
          <w:sz w:val="22"/>
          <w:szCs w:val="22"/>
        </w:rPr>
        <w:t xml:space="preserve">Rendered with Chart.js or D3.js, with animated fill on score reveal</w:t>
      </w:r>
    </w:p>
    <w:p>
      <w:pPr>
        <w:pStyle w:val="Heading3"/>
        <w:spacing w:after="80" w:before="200"/>
      </w:pPr>
      <w:r>
        <w:rPr>
          <w:rFonts w:ascii="Georgia" w:cs="Georgia" w:eastAsia="Georgia" w:hAnsi="Georgia"/>
          <w:b/>
          <w:bCs/>
          <w:color w:val="1A1A2E"/>
          <w:sz w:val="24"/>
          <w:szCs w:val="24"/>
        </w:rPr>
        <w:t xml:space="preserve">Panel 4 — Feature Explanation Cards</w:t>
      </w:r>
    </w:p>
    <w:p>
      <w:pPr>
        <w:pStyle w:val="ListParagraph"/>
        <w:numPr>
          <w:ilvl w:val="0"/>
          <w:numId w:val="2"/>
        </w:numPr>
        <w:spacing w:after="60" w:before="60"/>
      </w:pPr>
      <w:r>
        <w:rPr>
          <w:rFonts w:ascii="Calibri" w:cs="Calibri" w:eastAsia="Calibri" w:hAnsi="Calibri"/>
          <w:color w:val="333333"/>
          <w:sz w:val="22"/>
          <w:szCs w:val="22"/>
        </w:rPr>
        <w:t xml:space="preserve">One card per feature, showing its value, SHAP contribution (±), and a plain-language explanation</w:t>
      </w:r>
    </w:p>
    <w:p>
      <w:pPr>
        <w:pStyle w:val="ListParagraph"/>
        <w:numPr>
          <w:ilvl w:val="0"/>
          <w:numId w:val="2"/>
        </w:numPr>
        <w:spacing w:after="60" w:before="60"/>
      </w:pPr>
      <w:r>
        <w:rPr>
          <w:rFonts w:ascii="Calibri" w:cs="Calibri" w:eastAsia="Calibri" w:hAnsi="Calibri"/>
          <w:color w:val="333333"/>
          <w:sz w:val="22"/>
          <w:szCs w:val="22"/>
        </w:rPr>
        <w:t xml:space="preserve">Example: "Abstractness Ratio: 0.61 (+12.4 pts) — Over 60% of nouns refer to intangible concepts, a signature of philosophical prose."</w:t>
      </w:r>
    </w:p>
    <w:p>
      <w:pPr>
        <w:pStyle w:val="Heading2"/>
        <w:spacing w:after="100" w:before="280"/>
      </w:pPr>
      <w:r>
        <w:rPr>
          <w:rFonts w:ascii="Georgia" w:cs="Georgia" w:eastAsia="Georgia" w:hAnsi="Georgia"/>
          <w:b/>
          <w:bCs/>
          <w:color w:val="4A6FA5"/>
          <w:sz w:val="28"/>
          <w:szCs w:val="28"/>
        </w:rPr>
        <w:t xml:space="preserve">6.2 UX Extras (Differentiators)</w:t>
      </w:r>
    </w:p>
    <w:p>
      <w:pPr>
        <w:pStyle w:val="ListParagraph"/>
        <w:numPr>
          <w:ilvl w:val="0"/>
          <w:numId w:val="2"/>
        </w:numPr>
        <w:spacing w:after="60" w:before="60"/>
      </w:pPr>
      <w:r>
        <w:rPr>
          <w:rFonts w:ascii="Calibri" w:cs="Calibri" w:eastAsia="Calibri" w:hAnsi="Calibri"/>
          <w:color w:val="333333"/>
          <w:sz w:val="22"/>
          <w:szCs w:val="22"/>
        </w:rPr>
        <w:t xml:space="preserve">Comparison Mode: Two-pane editor, overlay radar charts, delta score display</w:t>
      </w:r>
    </w:p>
    <w:p>
      <w:pPr>
        <w:pStyle w:val="ListParagraph"/>
        <w:numPr>
          <w:ilvl w:val="0"/>
          <w:numId w:val="2"/>
        </w:numPr>
        <w:spacing w:after="60" w:before="60"/>
      </w:pPr>
      <w:r>
        <w:rPr>
          <w:rFonts w:ascii="Calibri" w:cs="Calibri" w:eastAsia="Calibri" w:hAnsi="Calibri"/>
          <w:color w:val="333333"/>
          <w:sz w:val="22"/>
          <w:szCs w:val="22"/>
        </w:rPr>
        <w:t xml:space="preserve">Example Texts Button: Loads canonical Nietzsche, Kafka, or Hemingway snippets to demonstrate range</w:t>
      </w:r>
    </w:p>
    <w:p>
      <w:pPr>
        <w:pStyle w:val="ListParagraph"/>
        <w:numPr>
          <w:ilvl w:val="0"/>
          <w:numId w:val="2"/>
        </w:numPr>
        <w:spacing w:after="60" w:before="60"/>
      </w:pPr>
      <w:r>
        <w:rPr>
          <w:rFonts w:ascii="Calibri" w:cs="Calibri" w:eastAsia="Calibri" w:hAnsi="Calibri"/>
          <w:color w:val="333333"/>
          <w:sz w:val="22"/>
          <w:szCs w:val="22"/>
        </w:rPr>
        <w:t xml:space="preserve">Export Report: Download a PDF summary of the analysis</w:t>
      </w:r>
    </w:p>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7. Deployment &amp; DevOps</w:t>
      </w:r>
    </w:p>
    <w:p>
      <w:pPr>
        <w:pStyle w:val="Heading2"/>
        <w:spacing w:after="100" w:before="280"/>
      </w:pPr>
      <w:r>
        <w:rPr>
          <w:rFonts w:ascii="Georgia" w:cs="Georgia" w:eastAsia="Georgia" w:hAnsi="Georgia"/>
          <w:b/>
          <w:bCs/>
          <w:color w:val="4A6FA5"/>
          <w:sz w:val="28"/>
          <w:szCs w:val="28"/>
        </w:rPr>
        <w:t xml:space="preserve">7.1 Project Directory Structure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philomath-index/</w:t>
            </w:r>
          </w:p>
          <w:p>
            <w:pPr>
              <w:spacing w:after="0" w:before="0"/>
            </w:pPr>
            <w:r>
              <w:rPr>
                <w:rFonts w:ascii="Courier New" w:cs="Courier New" w:eastAsia="Courier New" w:hAnsi="Courier New"/>
                <w:color w:val="1A1A2E"/>
                <w:sz w:val="18"/>
                <w:szCs w:val="18"/>
              </w:rPr>
              <w:t xml:space="preserve">├── backend/</w:t>
            </w:r>
          </w:p>
          <w:p>
            <w:pPr>
              <w:spacing w:after="0" w:before="0"/>
            </w:pPr>
            <w:r>
              <w:rPr>
                <w:rFonts w:ascii="Courier New" w:cs="Courier New" w:eastAsia="Courier New" w:hAnsi="Courier New"/>
                <w:color w:val="1A1A2E"/>
                <w:sz w:val="18"/>
                <w:szCs w:val="18"/>
              </w:rPr>
              <w:t xml:space="preserve">│   ├── app/</w:t>
            </w:r>
          </w:p>
          <w:p>
            <w:pPr>
              <w:spacing w:after="0" w:before="0"/>
            </w:pPr>
            <w:r>
              <w:rPr>
                <w:rFonts w:ascii="Courier New" w:cs="Courier New" w:eastAsia="Courier New" w:hAnsi="Courier New"/>
                <w:color w:val="1A1A2E"/>
                <w:sz w:val="18"/>
                <w:szCs w:val="18"/>
              </w:rPr>
              <w:t xml:space="preserve">│   │   ├── main.py              # FastAPI app</w:t>
            </w:r>
          </w:p>
          <w:p>
            <w:pPr>
              <w:spacing w:after="0" w:before="0"/>
            </w:pPr>
            <w:r>
              <w:rPr>
                <w:rFonts w:ascii="Courier New" w:cs="Courier New" w:eastAsia="Courier New" w:hAnsi="Courier New"/>
                <w:color w:val="1A1A2E"/>
                <w:sz w:val="18"/>
                <w:szCs w:val="18"/>
              </w:rPr>
              <w:t xml:space="preserve">│   │   ├── predictor.py         # Prediction pipeline</w:t>
            </w:r>
          </w:p>
          <w:p>
            <w:pPr>
              <w:spacing w:after="0" w:before="0"/>
            </w:pPr>
            <w:r>
              <w:rPr>
                <w:rFonts w:ascii="Courier New" w:cs="Courier New" w:eastAsia="Courier New" w:hAnsi="Courier New"/>
                <w:color w:val="1A1A2E"/>
                <w:sz w:val="18"/>
                <w:szCs w:val="18"/>
              </w:rPr>
              <w:t xml:space="preserve">│   │   ├── features.py          # Feature extraction (spaCy)</w:t>
            </w:r>
          </w:p>
          <w:p>
            <w:pPr>
              <w:spacing w:after="0" w:before="0"/>
            </w:pPr>
            <w:r>
              <w:rPr>
                <w:rFonts w:ascii="Courier New" w:cs="Courier New" w:eastAsia="Courier New" w:hAnsi="Courier New"/>
                <w:color w:val="1A1A2E"/>
                <w:sz w:val="18"/>
                <w:szCs w:val="18"/>
              </w:rPr>
              <w:t xml:space="preserve">│   │   ├── model/</w:t>
            </w:r>
          </w:p>
          <w:p>
            <w:pPr>
              <w:spacing w:after="0" w:before="0"/>
            </w:pPr>
            <w:r>
              <w:rPr>
                <w:rFonts w:ascii="Courier New" w:cs="Courier New" w:eastAsia="Courier New" w:hAnsi="Courier New"/>
                <w:color w:val="1A1A2E"/>
                <w:sz w:val="18"/>
                <w:szCs w:val="18"/>
              </w:rPr>
              <w:t xml:space="preserve">│   │   │   ├── model.pkl        # Trained regressor</w:t>
            </w:r>
          </w:p>
          <w:p>
            <w:pPr>
              <w:spacing w:after="0" w:before="0"/>
            </w:pPr>
            <w:r>
              <w:rPr>
                <w:rFonts w:ascii="Courier New" w:cs="Courier New" w:eastAsia="Courier New" w:hAnsi="Courier New"/>
                <w:color w:val="1A1A2E"/>
                <w:sz w:val="18"/>
                <w:szCs w:val="18"/>
              </w:rPr>
              <w:t xml:space="preserve">│   │   │   └── scaler.pkl       # Feature scaler</w:t>
            </w:r>
          </w:p>
          <w:p>
            <w:pPr>
              <w:spacing w:after="0" w:before="0"/>
            </w:pPr>
            <w:r>
              <w:rPr>
                <w:rFonts w:ascii="Courier New" w:cs="Courier New" w:eastAsia="Courier New" w:hAnsi="Courier New"/>
                <w:color w:val="1A1A2E"/>
                <w:sz w:val="18"/>
                <w:szCs w:val="18"/>
              </w:rPr>
              <w:t xml:space="preserve">│   │   └── abstract_lexicon.txt # Custom philosophical noun list</w:t>
            </w:r>
          </w:p>
          <w:p>
            <w:pPr>
              <w:spacing w:after="0" w:before="0"/>
            </w:pPr>
            <w:r>
              <w:rPr>
                <w:rFonts w:ascii="Courier New" w:cs="Courier New" w:eastAsia="Courier New" w:hAnsi="Courier New"/>
                <w:color w:val="1A1A2E"/>
                <w:sz w:val="18"/>
                <w:szCs w:val="18"/>
              </w:rPr>
              <w:t xml:space="preserve">│   ├── requirements.txt</w:t>
            </w:r>
          </w:p>
          <w:p>
            <w:pPr>
              <w:spacing w:after="0" w:before="0"/>
            </w:pPr>
            <w:r>
              <w:rPr>
                <w:rFonts w:ascii="Courier New" w:cs="Courier New" w:eastAsia="Courier New" w:hAnsi="Courier New"/>
                <w:color w:val="1A1A2E"/>
                <w:sz w:val="18"/>
                <w:szCs w:val="18"/>
              </w:rPr>
              <w:t xml:space="preserve">│   └── Dockerfile</w:t>
            </w:r>
          </w:p>
          <w:p>
            <w:pPr>
              <w:spacing w:after="0" w:before="0"/>
            </w:pPr>
            <w:r>
              <w:rPr>
                <w:rFonts w:ascii="Courier New" w:cs="Courier New" w:eastAsia="Courier New" w:hAnsi="Courier New"/>
                <w:color w:val="1A1A2E"/>
                <w:sz w:val="18"/>
                <w:szCs w:val="18"/>
              </w:rPr>
              <w:t xml:space="preserve">├── frontend/</w:t>
            </w:r>
          </w:p>
          <w:p>
            <w:pPr>
              <w:spacing w:after="0" w:before="0"/>
            </w:pPr>
            <w:r>
              <w:rPr>
                <w:rFonts w:ascii="Courier New" w:cs="Courier New" w:eastAsia="Courier New" w:hAnsi="Courier New"/>
                <w:color w:val="1A1A2E"/>
                <w:sz w:val="18"/>
                <w:szCs w:val="18"/>
              </w:rPr>
              <w:t xml:space="preserve">│   ├── src/</w:t>
            </w:r>
          </w:p>
          <w:p>
            <w:pPr>
              <w:spacing w:after="0" w:before="0"/>
            </w:pPr>
            <w:r>
              <w:rPr>
                <w:rFonts w:ascii="Courier New" w:cs="Courier New" w:eastAsia="Courier New" w:hAnsi="Courier New"/>
                <w:color w:val="1A1A2E"/>
                <w:sz w:val="18"/>
                <w:szCs w:val="18"/>
              </w:rPr>
              <w:t xml:space="preserve">│   │   ├── App.vue</w:t>
            </w:r>
          </w:p>
          <w:p>
            <w:pPr>
              <w:spacing w:after="0" w:before="0"/>
            </w:pPr>
            <w:r>
              <w:rPr>
                <w:rFonts w:ascii="Courier New" w:cs="Courier New" w:eastAsia="Courier New" w:hAnsi="Courier New"/>
                <w:color w:val="1A1A2E"/>
                <w:sz w:val="18"/>
                <w:szCs w:val="18"/>
              </w:rPr>
              <w:t xml:space="preserve">│   │   ├── components/</w:t>
            </w:r>
          </w:p>
          <w:p>
            <w:pPr>
              <w:spacing w:after="0" w:before="0"/>
            </w:pPr>
            <w:r>
              <w:rPr>
                <w:rFonts w:ascii="Courier New" w:cs="Courier New" w:eastAsia="Courier New" w:hAnsi="Courier New"/>
                <w:color w:val="1A1A2E"/>
                <w:sz w:val="18"/>
                <w:szCs w:val="18"/>
              </w:rPr>
              <w:t xml:space="preserve">│   │   │   ├── EditorPane.vue</w:t>
            </w:r>
          </w:p>
          <w:p>
            <w:pPr>
              <w:spacing w:after="0" w:before="0"/>
            </w:pPr>
            <w:r>
              <w:rPr>
                <w:rFonts w:ascii="Courier New" w:cs="Courier New" w:eastAsia="Courier New" w:hAnsi="Courier New"/>
                <w:color w:val="1A1A2E"/>
                <w:sz w:val="18"/>
                <w:szCs w:val="18"/>
              </w:rPr>
              <w:t xml:space="preserve">│   │   │   ├── ComplexityGauge.vue</w:t>
            </w:r>
          </w:p>
          <w:p>
            <w:pPr>
              <w:spacing w:after="0" w:before="0"/>
            </w:pPr>
            <w:r>
              <w:rPr>
                <w:rFonts w:ascii="Courier New" w:cs="Courier New" w:eastAsia="Courier New" w:hAnsi="Courier New"/>
                <w:color w:val="1A1A2E"/>
                <w:sz w:val="18"/>
                <w:szCs w:val="18"/>
              </w:rPr>
              <w:t xml:space="preserve">│   │   │   ├── RadarChart.vue</w:t>
            </w:r>
          </w:p>
          <w:p>
            <w:pPr>
              <w:spacing w:after="0" w:before="0"/>
            </w:pPr>
            <w:r>
              <w:rPr>
                <w:rFonts w:ascii="Courier New" w:cs="Courier New" w:eastAsia="Courier New" w:hAnsi="Courier New"/>
                <w:color w:val="1A1A2E"/>
                <w:sz w:val="18"/>
                <w:szCs w:val="18"/>
              </w:rPr>
              <w:t xml:space="preserve">│   │   │   └── FeatureCards.vue</w:t>
            </w:r>
          </w:p>
          <w:p>
            <w:pPr>
              <w:spacing w:after="0" w:before="0"/>
            </w:pPr>
            <w:r>
              <w:rPr>
                <w:rFonts w:ascii="Courier New" w:cs="Courier New" w:eastAsia="Courier New" w:hAnsi="Courier New"/>
                <w:color w:val="1A1A2E"/>
                <w:sz w:val="18"/>
                <w:szCs w:val="18"/>
              </w:rPr>
              <w:t xml:space="preserve">│   │   └── api/client.js</w:t>
            </w:r>
          </w:p>
          <w:p>
            <w:pPr>
              <w:spacing w:after="0" w:before="0"/>
            </w:pPr>
            <w:r>
              <w:rPr>
                <w:rFonts w:ascii="Courier New" w:cs="Courier New" w:eastAsia="Courier New" w:hAnsi="Courier New"/>
                <w:color w:val="1A1A2E"/>
                <w:sz w:val="18"/>
                <w:szCs w:val="18"/>
              </w:rPr>
              <w:t xml:space="preserve">│   ├── package.json</w:t>
            </w:r>
          </w:p>
          <w:p>
            <w:pPr>
              <w:spacing w:after="0" w:before="0"/>
            </w:pPr>
            <w:r>
              <w:rPr>
                <w:rFonts w:ascii="Courier New" w:cs="Courier New" w:eastAsia="Courier New" w:hAnsi="Courier New"/>
                <w:color w:val="1A1A2E"/>
                <w:sz w:val="18"/>
                <w:szCs w:val="18"/>
              </w:rPr>
              <w:t xml:space="preserve">│   └── Dockerfile</w:t>
            </w:r>
          </w:p>
          <w:p>
            <w:pPr>
              <w:spacing w:after="0" w:before="0"/>
            </w:pPr>
            <w:r>
              <w:rPr>
                <w:rFonts w:ascii="Courier New" w:cs="Courier New" w:eastAsia="Courier New" w:hAnsi="Courier New"/>
                <w:color w:val="1A1A2E"/>
                <w:sz w:val="18"/>
                <w:szCs w:val="18"/>
              </w:rPr>
              <w:t xml:space="preserve">├── notebooks/</w:t>
            </w:r>
          </w:p>
          <w:p>
            <w:pPr>
              <w:spacing w:after="0" w:before="0"/>
            </w:pPr>
            <w:r>
              <w:rPr>
                <w:rFonts w:ascii="Courier New" w:cs="Courier New" w:eastAsia="Courier New" w:hAnsi="Courier New"/>
                <w:color w:val="1A1A2E"/>
                <w:sz w:val="18"/>
                <w:szCs w:val="18"/>
              </w:rPr>
              <w:t xml:space="preserve">│   ├── 01_data_acquisition.ipynb</w:t>
            </w:r>
          </w:p>
          <w:p>
            <w:pPr>
              <w:spacing w:after="0" w:before="0"/>
            </w:pPr>
            <w:r>
              <w:rPr>
                <w:rFonts w:ascii="Courier New" w:cs="Courier New" w:eastAsia="Courier New" w:hAnsi="Courier New"/>
                <w:color w:val="1A1A2E"/>
                <w:sz w:val="18"/>
                <w:szCs w:val="18"/>
              </w:rPr>
              <w:t xml:space="preserve">│   ├── 02_feature_engineering.ipynb</w:t>
            </w:r>
          </w:p>
          <w:p>
            <w:pPr>
              <w:spacing w:after="0" w:before="0"/>
            </w:pPr>
            <w:r>
              <w:rPr>
                <w:rFonts w:ascii="Courier New" w:cs="Courier New" w:eastAsia="Courier New" w:hAnsi="Courier New"/>
                <w:color w:val="1A1A2E"/>
                <w:sz w:val="18"/>
                <w:szCs w:val="18"/>
              </w:rPr>
              <w:t xml:space="preserve">│   ├── 03_model_training.ipynb</w:t>
            </w:r>
          </w:p>
          <w:p>
            <w:pPr>
              <w:spacing w:after="0" w:before="0"/>
            </w:pPr>
            <w:r>
              <w:rPr>
                <w:rFonts w:ascii="Courier New" w:cs="Courier New" w:eastAsia="Courier New" w:hAnsi="Courier New"/>
                <w:color w:val="1A1A2E"/>
                <w:sz w:val="18"/>
                <w:szCs w:val="18"/>
              </w:rPr>
              <w:t xml:space="preserve">│   └── 04_shap_analysis.ipynb</w:t>
            </w:r>
          </w:p>
          <w:p>
            <w:pPr>
              <w:spacing w:after="0" w:before="0"/>
            </w:pPr>
            <w:r>
              <w:rPr>
                <w:rFonts w:ascii="Courier New" w:cs="Courier New" w:eastAsia="Courier New" w:hAnsi="Courier New"/>
                <w:color w:val="1A1A2E"/>
                <w:sz w:val="18"/>
                <w:szCs w:val="18"/>
              </w:rPr>
              <w:t xml:space="preserve">├── data/</w:t>
            </w:r>
          </w:p>
          <w:p>
            <w:pPr>
              <w:spacing w:after="0" w:before="0"/>
            </w:pPr>
            <w:r>
              <w:rPr>
                <w:rFonts w:ascii="Courier New" w:cs="Courier New" w:eastAsia="Courier New" w:hAnsi="Courier New"/>
                <w:color w:val="1A1A2E"/>
                <w:sz w:val="18"/>
                <w:szCs w:val="18"/>
              </w:rPr>
              <w:t xml:space="preserve">│   ├── raw/</w:t>
            </w:r>
          </w:p>
          <w:p>
            <w:pPr>
              <w:spacing w:after="0" w:before="0"/>
            </w:pPr>
            <w:r>
              <w:rPr>
                <w:rFonts w:ascii="Courier New" w:cs="Courier New" w:eastAsia="Courier New" w:hAnsi="Courier New"/>
                <w:color w:val="1A1A2E"/>
                <w:sz w:val="18"/>
                <w:szCs w:val="18"/>
              </w:rPr>
              <w:t xml:space="preserve">│   └── corpus.csv</w:t>
            </w:r>
          </w:p>
          <w:p>
            <w:pPr>
              <w:spacing w:after="0" w:before="0"/>
            </w:pPr>
            <w:r>
              <w:rPr>
                <w:rFonts w:ascii="Courier New" w:cs="Courier New" w:eastAsia="Courier New" w:hAnsi="Courier New"/>
                <w:color w:val="1A1A2E"/>
                <w:sz w:val="18"/>
                <w:szCs w:val="18"/>
              </w:rPr>
              <w:t xml:space="preserve">├── docker-compose.yml</w:t>
            </w:r>
          </w:p>
          <w:p>
            <w:pPr>
              <w:spacing w:after="0" w:before="0"/>
            </w:pPr>
            <w:r>
              <w:rPr>
                <w:rFonts w:ascii="Courier New" w:cs="Courier New" w:eastAsia="Courier New" w:hAnsi="Courier New"/>
                <w:color w:val="1A1A2E"/>
                <w:sz w:val="18"/>
                <w:szCs w:val="18"/>
              </w:rPr>
              <w:t xml:space="preserve">└── README.md</w:t>
            </w:r>
          </w:p>
        </w:tc>
      </w:tr>
    </w:tbl>
    <w:p>
      <w:pPr>
        <w:pStyle w:val="Heading2"/>
        <w:spacing w:after="100" w:before="280"/>
      </w:pPr>
      <w:r>
        <w:rPr>
          <w:rFonts w:ascii="Georgia" w:cs="Georgia" w:eastAsia="Georgia" w:hAnsi="Georgia"/>
          <w:b/>
          <w:bCs/>
          <w:color w:val="4A6FA5"/>
          <w:sz w:val="28"/>
          <w:szCs w:val="28"/>
        </w:rPr>
        <w:t xml:space="preserve">7.2 Docker Compose Architecture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services:</w:t>
            </w:r>
          </w:p>
          <w:p>
            <w:pPr>
              <w:spacing w:after="0" w:before="0"/>
            </w:pPr>
            <w:r>
              <w:rPr>
                <w:rFonts w:ascii="Courier New" w:cs="Courier New" w:eastAsia="Courier New" w:hAnsi="Courier New"/>
                <w:color w:val="1A1A2E"/>
                <w:sz w:val="18"/>
                <w:szCs w:val="18"/>
              </w:rPr>
              <w:t xml:space="preserve">  backend:</w:t>
            </w:r>
          </w:p>
          <w:p>
            <w:pPr>
              <w:spacing w:after="0" w:before="0"/>
            </w:pPr>
            <w:r>
              <w:rPr>
                <w:rFonts w:ascii="Courier New" w:cs="Courier New" w:eastAsia="Courier New" w:hAnsi="Courier New"/>
                <w:color w:val="1A1A2E"/>
                <w:sz w:val="18"/>
                <w:szCs w:val="18"/>
              </w:rPr>
              <w:t xml:space="preserve">    build: ./backend</w:t>
            </w:r>
          </w:p>
          <w:p>
            <w:pPr>
              <w:spacing w:after="0" w:before="0"/>
            </w:pPr>
            <w:r>
              <w:rPr>
                <w:rFonts w:ascii="Courier New" w:cs="Courier New" w:eastAsia="Courier New" w:hAnsi="Courier New"/>
                <w:color w:val="1A1A2E"/>
                <w:sz w:val="18"/>
                <w:szCs w:val="18"/>
              </w:rPr>
              <w:t xml:space="preserve">    ports: ['8000:8000']</w:t>
            </w:r>
          </w:p>
          <w:p>
            <w:pPr>
              <w:spacing w:after="0" w:before="0"/>
            </w:pPr>
            <w:r>
              <w:rPr>
                <w:rFonts w:ascii="Courier New" w:cs="Courier New" w:eastAsia="Courier New" w:hAnsi="Courier New"/>
                <w:color w:val="1A1A2E"/>
                <w:sz w:val="18"/>
                <w:szCs w:val="18"/>
              </w:rPr>
              <w:t xml:space="preserve">    volumes:</w:t>
            </w:r>
          </w:p>
          <w:p>
            <w:pPr>
              <w:spacing w:after="0" w:before="0"/>
            </w:pPr>
            <w:r>
              <w:rPr>
                <w:rFonts w:ascii="Courier New" w:cs="Courier New" w:eastAsia="Courier New" w:hAnsi="Courier New"/>
                <w:color w:val="1A1A2E"/>
                <w:sz w:val="18"/>
                <w:szCs w:val="18"/>
              </w:rPr>
              <w:t xml:space="preserve">      - ./data:/app/data</w:t>
            </w:r>
          </w:p>
          <w:p>
            <w:pPr>
              <w:spacing w:after="0" w:before="0"/>
            </w:pPr>
            <w:r>
              <w:rPr>
                <w:rFonts w:ascii="Courier New" w:cs="Courier New" w:eastAsia="Courier New" w:hAnsi="Courier New"/>
                <w:color w:val="1A1A2E"/>
                <w:sz w:val="18"/>
                <w:szCs w:val="18"/>
              </w:rPr>
              <w:t xml:space="preserve">    environment:</w:t>
            </w:r>
          </w:p>
          <w:p>
            <w:pPr>
              <w:spacing w:after="0" w:before="0"/>
            </w:pPr>
            <w:r>
              <w:rPr>
                <w:rFonts w:ascii="Courier New" w:cs="Courier New" w:eastAsia="Courier New" w:hAnsi="Courier New"/>
                <w:color w:val="1A1A2E"/>
                <w:sz w:val="18"/>
                <w:szCs w:val="18"/>
              </w:rPr>
              <w:t xml:space="preserve">      - MODEL_PATH=/app/model/model.pkl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frontend:</w:t>
            </w:r>
          </w:p>
          <w:p>
            <w:pPr>
              <w:spacing w:after="0" w:before="0"/>
            </w:pPr>
            <w:r>
              <w:rPr>
                <w:rFonts w:ascii="Courier New" w:cs="Courier New" w:eastAsia="Courier New" w:hAnsi="Courier New"/>
                <w:color w:val="1A1A2E"/>
                <w:sz w:val="18"/>
                <w:szCs w:val="18"/>
              </w:rPr>
              <w:t xml:space="preserve">    build: ./frontend</w:t>
            </w:r>
          </w:p>
          <w:p>
            <w:pPr>
              <w:spacing w:after="0" w:before="0"/>
            </w:pPr>
            <w:r>
              <w:rPr>
                <w:rFonts w:ascii="Courier New" w:cs="Courier New" w:eastAsia="Courier New" w:hAnsi="Courier New"/>
                <w:color w:val="1A1A2E"/>
                <w:sz w:val="18"/>
                <w:szCs w:val="18"/>
              </w:rPr>
              <w:t xml:space="preserve">    ports: ['5173:5173']</w:t>
            </w:r>
          </w:p>
          <w:p>
            <w:pPr>
              <w:spacing w:after="0" w:before="0"/>
            </w:pPr>
            <w:r>
              <w:rPr>
                <w:rFonts w:ascii="Courier New" w:cs="Courier New" w:eastAsia="Courier New" w:hAnsi="Courier New"/>
                <w:color w:val="1A1A2E"/>
                <w:sz w:val="18"/>
                <w:szCs w:val="18"/>
              </w:rPr>
              <w:t xml:space="preserve">    depends_on: [backend]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Calibri" w:cs="Calibri" w:eastAsia="Calibri" w:hAnsi="Calibri"/>
                <w:i/>
                <w:iCs/>
                <w:color w:val="333333"/>
                <w:sz w:val="20"/>
                <w:szCs w:val="20"/>
              </w:rPr>
              <w:t xml:space="preserve">spaCy Model Note: The en_core_web_lg model (~750MB) must be downloaded during the Docker build step. Include RUN python -m spacy download en_core_web_lg in the backend Dockerfile.</w:t>
            </w:r>
          </w:p>
        </w:tc>
      </w:tr>
    </w:tbl>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8. Additions &amp; Enhancements</w:t>
      </w:r>
    </w:p>
    <w:p>
      <w:pPr>
        <w:spacing w:after="100" w:before="80"/>
      </w:pPr>
      <w:r>
        <w:rPr>
          <w:rFonts w:ascii="Calibri" w:cs="Calibri" w:eastAsia="Calibri" w:hAnsi="Calibri"/>
          <w:color w:val="333333"/>
          <w:sz w:val="22"/>
          <w:szCs w:val="22"/>
        </w:rPr>
        <w:t xml:space="preserve">The following extensions elevate the project beyond a standard portfolio piece:</w:t>
      </w:r>
    </w:p>
    <w:p>
      <w:pPr>
        <w:pStyle w:val="Heading2"/>
        <w:spacing w:after="100" w:before="280"/>
      </w:pPr>
      <w:r>
        <w:rPr>
          <w:rFonts w:ascii="Georgia" w:cs="Georgia" w:eastAsia="Georgia" w:hAnsi="Georgia"/>
          <w:b/>
          <w:bCs/>
          <w:color w:val="4A6FA5"/>
          <w:sz w:val="28"/>
          <w:szCs w:val="28"/>
        </w:rPr>
        <w:t xml:space="preserve">8.1 Confidence Interval on Prediction</w:t>
      </w:r>
    </w:p>
    <w:p>
      <w:pPr>
        <w:spacing w:after="100" w:before="80"/>
      </w:pPr>
      <w:r>
        <w:rPr>
          <w:rFonts w:ascii="Calibri" w:cs="Calibri" w:eastAsia="Calibri" w:hAnsi="Calibri"/>
          <w:color w:val="333333"/>
          <w:sz w:val="22"/>
          <w:szCs w:val="22"/>
        </w:rPr>
        <w:t xml:space="preserve">Rather than a point estimate, return a confidence interval derived from the standard deviation of predictions across cross-validation folds (or bootstrapped predictions). Short texts with ambiguous features will have wider intervals — honest uncertainty quantification.</w:t>
      </w:r>
    </w:p>
    <w:p>
      <w:pPr>
        <w:pStyle w:val="Heading2"/>
        <w:spacing w:after="100" w:before="280"/>
      </w:pPr>
      <w:r>
        <w:rPr>
          <w:rFonts w:ascii="Georgia" w:cs="Georgia" w:eastAsia="Georgia" w:hAnsi="Georgia"/>
          <w:b/>
          <w:bCs/>
          <w:color w:val="4A6FA5"/>
          <w:sz w:val="28"/>
          <w:szCs w:val="28"/>
        </w:rPr>
        <w:t xml:space="preserve">8.2 Author Tier Classification (Bonus Classifier)</w:t>
      </w:r>
    </w:p>
    <w:p>
      <w:pPr>
        <w:spacing w:after="100" w:before="80"/>
      </w:pPr>
      <w:r>
        <w:rPr>
          <w:rFonts w:ascii="Calibri" w:cs="Calibri" w:eastAsia="Calibri" w:hAnsi="Calibri"/>
          <w:color w:val="333333"/>
          <w:sz w:val="22"/>
          <w:szCs w:val="22"/>
        </w:rPr>
        <w:t xml:space="preserve">Train a secondary multi-class classifier alongside the regressor that maps the feature vector to an Author Tier label (e.g., General Prose, Literary Fiction, Philosophical Treatise). This dual output makes the UI more intuitive and enriches the model's narrative.</w:t>
      </w:r>
    </w:p>
    <w:p>
      <w:pPr>
        <w:pStyle w:val="Heading2"/>
        <w:spacing w:after="100" w:before="280"/>
      </w:pPr>
      <w:r>
        <w:rPr>
          <w:rFonts w:ascii="Georgia" w:cs="Georgia" w:eastAsia="Georgia" w:hAnsi="Georgia"/>
          <w:b/>
          <w:bCs/>
          <w:color w:val="4A6FA5"/>
          <w:sz w:val="28"/>
          <w:szCs w:val="28"/>
        </w:rPr>
        <w:t xml:space="preserve">8.3 The Philosophical Abstract Noun Lexicon</w:t>
      </w:r>
    </w:p>
    <w:p>
      <w:pPr>
        <w:spacing w:after="100" w:before="80"/>
      </w:pPr>
      <w:r>
        <w:rPr>
          <w:rFonts w:ascii="Calibri" w:cs="Calibri" w:eastAsia="Calibri" w:hAnsi="Calibri"/>
          <w:color w:val="333333"/>
          <w:sz w:val="22"/>
          <w:szCs w:val="22"/>
        </w:rPr>
        <w:t xml:space="preserve">A hand-curated list of ~500 philosophical abstract nouns is a genuine research contribution. WordNet's taxonomy is inconsistent for domain-specific vocabulary (Dasein, aporia, dialectic, noumenon). Publishing this lexicon as an open dataset alongside the project adds academic credibility.</w:t>
      </w:r>
    </w:p>
    <w:p>
      <w:pPr>
        <w:pStyle w:val="Heading2"/>
        <w:spacing w:after="100" w:before="280"/>
      </w:pPr>
      <w:r>
        <w:rPr>
          <w:rFonts w:ascii="Georgia" w:cs="Georgia" w:eastAsia="Georgia" w:hAnsi="Georgia"/>
          <w:b/>
          <w:bCs/>
          <w:color w:val="4A6FA5"/>
          <w:sz w:val="28"/>
          <w:szCs w:val="28"/>
        </w:rPr>
        <w:t xml:space="preserve">8.4 Corpus Bias Audit</w:t>
      </w:r>
    </w:p>
    <w:p>
      <w:pPr>
        <w:spacing w:after="100" w:before="80"/>
      </w:pPr>
      <w:r>
        <w:rPr>
          <w:rFonts w:ascii="Calibri" w:cs="Calibri" w:eastAsia="Calibri" w:hAnsi="Calibri"/>
          <w:color w:val="333333"/>
          <w:sz w:val="22"/>
          <w:szCs w:val="22"/>
        </w:rPr>
        <w:t xml:space="preserve">Explicitly document the known biases of the training corpus:</w:t>
      </w:r>
    </w:p>
    <w:p>
      <w:pPr>
        <w:pStyle w:val="ListParagraph"/>
        <w:numPr>
          <w:ilvl w:val="0"/>
          <w:numId w:val="2"/>
        </w:numPr>
        <w:spacing w:after="60" w:before="60"/>
      </w:pPr>
      <w:r>
        <w:rPr>
          <w:rFonts w:ascii="Calibri" w:cs="Calibri" w:eastAsia="Calibri" w:hAnsi="Calibri"/>
          <w:color w:val="333333"/>
          <w:sz w:val="22"/>
          <w:szCs w:val="22"/>
        </w:rPr>
        <w:t xml:space="preserve">Western philosophical tradition dominates (Kant, Hegel, Nietzsche)</w:t>
      </w:r>
    </w:p>
    <w:p>
      <w:pPr>
        <w:pStyle w:val="ListParagraph"/>
        <w:numPr>
          <w:ilvl w:val="0"/>
          <w:numId w:val="2"/>
        </w:numPr>
        <w:spacing w:after="60" w:before="60"/>
      </w:pPr>
      <w:r>
        <w:rPr>
          <w:rFonts w:ascii="Calibri" w:cs="Calibri" w:eastAsia="Calibri" w:hAnsi="Calibri"/>
          <w:color w:val="333333"/>
          <w:sz w:val="22"/>
          <w:szCs w:val="22"/>
        </w:rPr>
        <w:t xml:space="preserve">Texts are primarily translated from German/French/Russian — translation artifacts may affect feature distributions</w:t>
      </w:r>
    </w:p>
    <w:p>
      <w:pPr>
        <w:pStyle w:val="ListParagraph"/>
        <w:numPr>
          <w:ilvl w:val="0"/>
          <w:numId w:val="2"/>
        </w:numPr>
        <w:spacing w:after="60" w:before="60"/>
      </w:pPr>
      <w:r>
        <w:rPr>
          <w:rFonts w:ascii="Calibri" w:cs="Calibri" w:eastAsia="Calibri" w:hAnsi="Calibri"/>
          <w:color w:val="333333"/>
          <w:sz w:val="22"/>
          <w:szCs w:val="22"/>
        </w:rPr>
        <w:t xml:space="preserve">No contemporary academic papers or scientific texts included (by design, but worth stating)</w:t>
      </w:r>
    </w:p>
    <w:p>
      <w:pPr>
        <w:pStyle w:val="Heading2"/>
        <w:spacing w:after="100" w:before="280"/>
      </w:pPr>
      <w:r>
        <w:rPr>
          <w:rFonts w:ascii="Georgia" w:cs="Georgia" w:eastAsia="Georgia" w:hAnsi="Georgia"/>
          <w:b/>
          <w:bCs/>
          <w:color w:val="4A6FA5"/>
          <w:sz w:val="28"/>
          <w:szCs w:val="28"/>
        </w:rPr>
        <w:t xml:space="preserve">8.5 Adversarial Testing</w:t>
      </w:r>
    </w:p>
    <w:p>
      <w:pPr>
        <w:spacing w:after="100" w:before="80"/>
      </w:pPr>
      <w:r>
        <w:rPr>
          <w:rFonts w:ascii="Calibri" w:cs="Calibri" w:eastAsia="Calibri" w:hAnsi="Calibri"/>
          <w:color w:val="333333"/>
          <w:sz w:val="22"/>
          <w:szCs w:val="22"/>
        </w:rPr>
        <w:t xml:space="preserve">Include a section in the README with deliberately adversarial examples — texts that look complex but score low (e.g., bureaucratic jargon with no abstraction) and texts that look simple but score high (e.g., a Wittgenstein proposition). This demonstrates the model's discriminative power and its departure from naive surface metrics.</w:t>
      </w:r>
    </w:p>
    <w:p>
      <w:pPr>
        <w:pBdr>
          <w:bottom w:val="single" w:color="4A6FA5" w:sz="6" w:space="1"/>
        </w:pBdr>
        <w:spacing w:after="160" w:before="160"/>
      </w:pPr>
      <w:r>
        <w:t xml:space="preserve"/>
      </w:r>
    </w:p>
    <w:p>
      <w:pPr>
        <w:pStyle w:val="Heading1"/>
        <w:spacing w:after="120" w:before="360"/>
      </w:pPr>
      <w:r>
        <w:rPr>
          <w:rFonts w:ascii="Georgia" w:cs="Georgia" w:eastAsia="Georgia" w:hAnsi="Georgia"/>
          <w:b/>
          <w:bCs/>
          <w:color w:val="1A1A2E"/>
          <w:sz w:val="36"/>
          <w:szCs w:val="36"/>
        </w:rPr>
        <w:t xml:space="preserve">9. Success Criteria</w:t>
      </w:r>
    </w:p>
    <w:p>
      <w:pPr>
        <w:spacing w:after="100" w:before="80"/>
      </w:pPr>
      <w:r>
        <w:rPr>
          <w:rFonts w:ascii="Calibri" w:cs="Calibri" w:eastAsia="Calibri" w:hAnsi="Calibri"/>
          <w:color w:val="333333"/>
          <w:sz w:val="22"/>
          <w:szCs w:val="22"/>
        </w:rPr>
        <w:t xml:space="preserve">The project is considered complete and portfolio-ready when all of the following are satisfied:</w:t>
      </w:r>
    </w:p>
    <w:p>
      <w:pPr>
        <w:spacing w:after="0" w:before="0"/>
      </w:pPr>
      <w:r>
        <w:rPr>
          <w:sz w:val="22"/>
          <w:szCs w:val="22"/>
        </w:rPr>
        <w:t xml:space="preserve"/>
      </w:r>
    </w:p>
    <w:p>
      <w:pPr>
        <w:pStyle w:val="ListParagraph"/>
        <w:numPr>
          <w:ilvl w:val="0"/>
          <w:numId w:val="3"/>
        </w:numPr>
        <w:spacing w:after="60" w:before="60"/>
      </w:pPr>
      <w:r>
        <w:rPr>
          <w:rFonts w:ascii="Calibri" w:cs="Calibri" w:eastAsia="Calibri" w:hAnsi="Calibri"/>
          <w:color w:val="333333"/>
          <w:sz w:val="22"/>
          <w:szCs w:val="22"/>
        </w:rPr>
        <w:t xml:space="preserve">R² &gt; 0.75 and MAE &lt; 8.0 on the held-out test set</w:t>
      </w:r>
    </w:p>
    <w:p>
      <w:pPr>
        <w:pStyle w:val="ListParagraph"/>
        <w:numPr>
          <w:ilvl w:val="0"/>
          <w:numId w:val="3"/>
        </w:numPr>
        <w:spacing w:after="60" w:before="60"/>
      </w:pPr>
      <w:r>
        <w:rPr>
          <w:rFonts w:ascii="Calibri" w:cs="Calibri" w:eastAsia="Calibri" w:hAnsi="Calibri"/>
          <w:color w:val="333333"/>
          <w:sz w:val="22"/>
          <w:szCs w:val="22"/>
        </w:rPr>
        <w:t xml:space="preserve">All six features have non-trivial SHAP contributions (no dead features)</w:t>
      </w:r>
    </w:p>
    <w:p>
      <w:pPr>
        <w:pStyle w:val="ListParagraph"/>
        <w:numPr>
          <w:ilvl w:val="0"/>
          <w:numId w:val="3"/>
        </w:numPr>
        <w:spacing w:after="60" w:before="60"/>
      </w:pPr>
      <w:r>
        <w:rPr>
          <w:rFonts w:ascii="Calibri" w:cs="Calibri" w:eastAsia="Calibri" w:hAnsi="Calibri"/>
          <w:color w:val="333333"/>
          <w:sz w:val="22"/>
          <w:szCs w:val="22"/>
        </w:rPr>
        <w:t xml:space="preserve">A Nietzsche snippet scores ≥ 20 points higher than a Hemingway snippet of equal length</w:t>
      </w:r>
    </w:p>
    <w:p>
      <w:pPr>
        <w:pStyle w:val="ListParagraph"/>
        <w:numPr>
          <w:ilvl w:val="0"/>
          <w:numId w:val="3"/>
        </w:numPr>
        <w:spacing w:after="60" w:before="60"/>
      </w:pPr>
      <w:r>
        <w:rPr>
          <w:rFonts w:ascii="Calibri" w:cs="Calibri" w:eastAsia="Calibri" w:hAnsi="Calibri"/>
          <w:color w:val="333333"/>
          <w:sz w:val="22"/>
          <w:szCs w:val="22"/>
        </w:rPr>
        <w:t xml:space="preserve">The API responds in &lt; 500ms for a 500-word input</w:t>
      </w:r>
    </w:p>
    <w:p>
      <w:pPr>
        <w:pStyle w:val="ListParagraph"/>
        <w:numPr>
          <w:ilvl w:val="0"/>
          <w:numId w:val="3"/>
        </w:numPr>
        <w:spacing w:after="60" w:before="60"/>
      </w:pPr>
      <w:r>
        <w:rPr>
          <w:rFonts w:ascii="Calibri" w:cs="Calibri" w:eastAsia="Calibri" w:hAnsi="Calibri"/>
          <w:color w:val="333333"/>
          <w:sz w:val="22"/>
          <w:szCs w:val="22"/>
        </w:rPr>
        <w:t xml:space="preserve">Docker Compose brings the full stack up with a single docker compose up</w:t>
      </w:r>
    </w:p>
    <w:p>
      <w:pPr>
        <w:pStyle w:val="ListParagraph"/>
        <w:numPr>
          <w:ilvl w:val="0"/>
          <w:numId w:val="3"/>
        </w:numPr>
        <w:spacing w:after="60" w:before="60"/>
      </w:pPr>
      <w:r>
        <w:rPr>
          <w:rFonts w:ascii="Calibri" w:cs="Calibri" w:eastAsia="Calibri" w:hAnsi="Calibri"/>
          <w:color w:val="333333"/>
          <w:sz w:val="22"/>
          <w:szCs w:val="22"/>
        </w:rPr>
        <w:t xml:space="preserve">The README clearly explains why each feature was chosen and what it measures</w:t>
      </w:r>
    </w:p>
    <w:p>
      <w:pPr>
        <w:spacing w:after="0" w:before="0"/>
      </w:pPr>
      <w:r>
        <w:rPr>
          <w:sz w:val="44"/>
          <w:szCs w:val="44"/>
        </w:rPr>
        <w:t xml:space="preserve"/>
      </w:r>
    </w:p>
    <w:p>
      <w:pPr>
        <w:pBdr>
          <w:bottom w:val="single" w:color="4A6FA5" w:sz="6" w:space="1"/>
        </w:pBdr>
        <w:spacing w:after="160" w:before="160"/>
      </w:pPr>
      <w:r>
        <w:t xml:space="preserve"/>
      </w:r>
    </w:p>
    <w:p>
      <w:pPr>
        <w:spacing w:after="60" w:before="60"/>
        <w:jc w:val="center"/>
      </w:pPr>
      <w:r>
        <w:rPr>
          <w:rFonts w:ascii="Georgia" w:cs="Georgia" w:eastAsia="Georgia" w:hAnsi="Georgia"/>
          <w:i/>
          <w:iCs/>
          <w:color w:val="555555"/>
          <w:sz w:val="22"/>
          <w:szCs w:val="22"/>
        </w:rPr>
        <w:t xml:space="preserve">The Philomath Index — because not all difficulty is in the syllables.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The Philomath Index  |  </w:t>
    </w: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Courier New" w:cs="Courier New" w:eastAsia="Courier New" w:hAnsi="Courier New"/>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4A6FA5"/>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2026-04-24T10:00:55.996Z</dcterms:created>
  <dcterms:modified xsi:type="dcterms:W3CDTF">2026-04-24T10:00:55.997Z</dcterms:modified>
</cp:coreProperties>
</file>

<file path=docProps/custom.xml><?xml version="1.0" encoding="utf-8"?>
<Properties xmlns="http://schemas.openxmlformats.org/officeDocument/2006/custom-properties" xmlns:vt="http://schemas.openxmlformats.org/officeDocument/2006/docPropsVTypes"/>
</file>