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DocuMind AI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C3489"/>
          <w:sz w:val="32"/>
          <w:szCs w:val="32"/>
        </w:rPr>
        <w:t xml:space="preserve">Complete Developer Blueprint &amp; Project Guideline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A next-generation Document AI platform designed to surpass LlamaParse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Version 1.0  |  For Agentic IDE Use  |  All phases covered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Project Vision &amp; Strategic Positioning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DocuMind AI is a modular, multimodal, agentic document parsing platform. It is not "one OCR model plus a nice UI." It is a 7-agent pipeline that combines native document extraction, layout understanding, coarse-to-fine vision-language model inference, render-and-compare verification, schema extraction with citations, and visual retrieval-augmented generation.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winning thesis, drawn from both ChatGPT (OpenAI) and Gemini (Google) research reports: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Document parsing is still far from solved. PureDocBench reports best models at ~mid-70s overall.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The way to beat LlamaParse is NOT to promise a mysterious proprietary model. Win on: transparent verification, calibrated confidence, visual debugging, controllable cost routing, and self-hostable modularity.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The architecture that works: a routing pipeline that sends simple pages to cheap OCR engines and complex pages to heavy VLMs.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1.1 Core differentiators over LlamaParse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Differentiator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wins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ECE-calibrated confidence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LlamaParse docs explicitly say scores are uncalibrated. Ours are post-hoc calibrated with isotonic regression. Enterprise compliance teams demand this.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parse debugger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public tool shows a parse-diff + mismatch heatmap. Ours does: click any field, see the bounding box on the original page.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Bounding box citations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extracted JSON value links back to a specific bbox on the original document. Compliance officers can click and verify.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Correction memory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corrections in the review queue feed back as labelled training signal. LlamaParse has no such loop.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BYOC / self-host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Legal, healthcare, fintech firms cannot send docs to cloud APIs. Full Kubernetes Helm charts, BYOC, zero-training-on-customer-data guarantee.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RAG (ColPali)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Traditional text chunking destroys 2D spatial relationships. ColPali MaxSim retrieval works natively on charts, figures, and nested tables.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2.1 The 7-agent pipeline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document flows through these agents in sequence. The routing decision at Agent 2 is the primary cost-control mechanism.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Agent 1 — Document Intake &amp; Anchoring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Extract baseline cryptographic hashes, structural metadata, prepare the canvas before heavy pixel processing.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Inputs: Raw PDF binary or document file (DOCX, PPTX).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Outputs: High-resolution rasterized images (300 DPI), native text coordinates, document metadata dictionaries.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Key technique: Document-anchoring — extract all native PDF text coordinates via PyMuPDF and inject them alongside rasterized images into subsequent VLM prompts. This single step drastically reduces generative hallucinations.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Libraries: PyMuPDF (fitz), pdfplumber, Poppler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E6F1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Agent 2 — Layout Detection &amp; Triage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Determine macro-structure, classify visual regions, calculate optimal cost-efficient routing path.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Inputs: Rasterized page images.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Outputs: Bounding boxes with class labels: Text, Heading, Table, Chart, Formula, Signature.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Models: YOLOv9 / RT-DETR trained on DocLayNet (80,863 annotated pages, 11 classes).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Routing logic: Simple single-column text → PaddleOCR-VL (cheap CPU path). Dense tables / formulas / multi-column → MinerU2.5-Pro NaViT (heavy VLM path). Scans / handwriting → olmOCR / Nougat path.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AE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Agent 3 — Specialist Content Agents (three parallel paths)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Path A — PaddleOCR-VL: Simple text-dominant regions. CPU-executable. Blazing fast, excellent multilingual.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Path B — MinerU2.5-Pro (1.2B NaViT): Dense tables, mathematical formulas, complex multi-column. Crops regions to up to 2048x28x28 px to avoid resolution loss. State-of-the-art on multi-line mathematical formulas and rotated tables.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Path C — olmOCR-7B / Nougat: Scanned documents, handwriting, LaTeX-heavy scientific PDFs. Uses document-anchoring with PyPDF native text injection.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Agent 4 — Reading Order Optimization &amp; Assembly</w:t>
            </w:r>
          </w:p>
        </w:tc>
      </w:tr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Reconstruct logical, human-intended flow across multi-column, multi-page, complex spatial boundaries.</w:t>
            </w:r>
          </w:p>
        </w:tc>
      </w:tr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Inputs: Independent parsed blocks with absolute bounding box coordinates.</w:t>
            </w:r>
          </w:p>
        </w:tc>
      </w:tr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Outputs: Unified, sequentially ordered Markdown, HTML, and strictly typed JSON AST.</w:t>
            </w:r>
          </w:p>
        </w:tc>
      </w:tr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Mechanism: Mathematical layout graph with weighted edges. Computes topological sort to infer reading sequence. Merges truncated paragraphs across pages. Stitches multi-page tables.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Agent 5 — Render-and-Compare Verifier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Mathematically verify that predicted structure faithfully represents the original document.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Mechanism: Re-render predicted Markdown/HTML back to a synthetic image. Compute SSIM, OCR consistency, layout IoU, and CLIP similarity against the original crop.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Output: Per-block verification score. Blocks below threshold are flagged for repair or routed to human review queue.</w:t>
            </w:r>
          </w:p>
        </w:tc>
      </w:tr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the primary research differentiator — formalises what LlamaParse calls 'auto-correction loops' into an auditable, logged verifier.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E6F1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Agent 6 — Schema Extraction Agent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Map free-form parsed text to user-defined Pydantic or JSON Schema.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Inputs: Unified Markdown AST, user-defined schema, visual bounding box citations.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Outputs: Strictly typed JSON payload with integrated ECE confidence scores and exact bbox citations for every key-value pair.</w:t>
            </w:r>
          </w:p>
        </w:tc>
      </w:tr>
      <w:tr>
        <w:tc>
          <w:tcPr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Mechanism: Constrained decoding via SGLang / Outlines / Guidance to guarantee schema compliance. Every extracted field maps back to a verifiable visual region.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AE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Agent 7 — Visual Indexing Agent (RAG)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Purpose: Embed documents for multimodal Retrieval-Augmented Generation.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Models: ColPali / ColQwen (Apache 2.0). Vision encoder creates multi-vector patch embeddings.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Mechanism: Divide page images into grid of uniform patches. Transform via PaliGemma or Qwen2 vision encoder. Contextualize with language model. Store in Qdrant with Binary Quantization (96% storage reduction).</w:t>
            </w:r>
          </w:p>
        </w:tc>
      </w:tr>
      <w:tr>
        <w:tc>
          <w:tcPr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Retrieval: MaxSim late interaction — each query token independently finds its best-matching visual patch.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2.2 Core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(Python) — async, native Pydantic integration, high throughput REST endpoints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 orchestration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 (production) / Celery+Redis (MVP) — durable execution, crash-proof workflow resumption for multi-hour parsing jobs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Relational state DB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with row-level security — source of truth for users, workspaces, jobs, billing, API keys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&amp; late-interaction store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Qdrant — the only production vector DB with native multi-vector late interaction support (required for ColPali). Enable BQ from day 1.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MinIO (S3-compatible, self-hostable) — raw PDFs, 300 DPI renders, crops, ASTs, logs. Never delete intermediates.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serving (generative)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vLLM + SGLang — PagedAttention throughput, prefix caching drops cost to ~$0.19/1M pages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serving (CV models)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Triton Inference Server — YOLOv9 layout detector, PaddleOCR, traditional CV inference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 + TypeScript + Tailwind + shadcn/ui + PDF.js canvas + Monaco Editor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OpenTelemetry distributed tracing + Prometheus + Grafana (GPU util, token/s, per-tenant cost)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Kubernetes (Helm charts for BYOC), Docker Compose (local dev)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Mathematical Foundations — Implementations Required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not theoretical references. Each formula below maps directly to a Python function you must implement. The tests for each function are implied by the evaluation targets in Section 6.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Layout graph &amp; reading order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 each detected block as a node with feature vector: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v_i = (b_i, c_i, t_i, x_i, p_i, f_i, s_i)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b=bbox  c=class  t=text_embedding  x=visual_embedding  p=page_idx  f=font_features  s=confidence_vector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Edge weight between block i and block j — i.e., probability j comes right after i in reading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W(i,j) = α · d_spatial(i,j) + β · d_semantic(i,j) + γ · P_col(i,j)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α=0.4  β=0.3  γ=0.3  |  tune on ReadingBank (500k labelled examples)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d_spatial(i,j) = Euclidean distance between bounding box edges (normalised 0-1 coords)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d_semantic(i,j) = 0.0 if block i ends with hyphen/comma AND block j continues syntactically. Else 0.2.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P_col(i,j) = 0.0 if same detected column. 0.8 if diagonal column jump (heavily penalised).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Successor probability (pairwise reading order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P(i → j) = σ(w^T · φ_ij)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φ_ij = [Δx, Δy, IoU(i,j), same_column, align_x, align_y, cos(t_i,t_j), cos(x_i,x_j)]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 on ReadingBank. Evaluate with adjacency F1 and relation-level F1. Build DAG over candidate successors, decode with maximum-weight topological ordering.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Table reconstruction loss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Treat table extraction as structure recovery, not OCR formatting. Training objective: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L_table = λ₁L_det + λ₂L_assign + λ₃L_span + λ₄(1 − TEDS) + λ₅L_render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λ₁=0.20  λ₂=0.25  λ₃=0.20  λ₄=0.25  λ₅=0.10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Component definitions: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L_det = region detection loss (standard object detection cross-entropy)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L_assign = token-to-cell assignment loss (penalises token-cell misassignment)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L_span = merged-cell span prediction loss (penalises inconsistent merge predictions)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TEDS = Tree Edit Distance Similarity between predicted HTML table and ground truth. Target: &gt; 0.92 on Real5-OmniDocBench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L_render = pixel-level MSE between rendered predicted table and original crop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multi-page table stitching (table bleeds across page breaks):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S(T_a, T_b) = α·header_sim + β·col_geom_sim + γ·text_continuity + δ·caption_or_footnote_cue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If S &gt; threshold → merge T_a and T_b, preserve row-level page provenance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3.3 Render-and-compare verifier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strongest research differentiator. After parsing, re-render predicted Markdown/HTML back to an image and compare against the original crop: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L_verify = α(1 − SSIM) + β·L_OCR_consistency + γ(1 − layout_IoU) + δ(1 − CLIPSim)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α=0.35  β=0.25  γ=0.25  δ=0.15  |  flag if L_verify &gt; 0.15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Component definitions: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SSIM = Structural Similarity Index between re-rendered image and original crop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L_OCR_consistency = Character Error Rate (CER) between re-OCR'd render and original text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layout_IoU = IoU of detected bounding box sets between predicted and source layout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CLIPSim = cosine similarity of CLIP embeddings (ViT-L/14) between original and rendered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confidence score is a weighted combination: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C_total = λ₁C_model + λ₂C_visual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C_total &lt; τ → trigger automated repair agent OR route to Human Review Queue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3.4 ECE-calibrated confidence per extracted field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LlamaParse's own public documentation explicitly states confidence scores are uncalibrated. This is a direct exploit. Implement calibrated confidence: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conf(y_f) = σ(a·schema_fit + b·citation_grounding + c·parser_quality + d·model_agreement − e·contradiction)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a=0.25  b=0.30  c=0.20  d=0.15  e=0.10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Post-hoc calibration with isotonic regression on a held-out validation set. Report both raw and calibrated scores in every API response.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Expected Calibration Error (ECE) — target &lt; 0.05: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ECE = Σₙ (|Bₙ|/N) · |acc(Bₙ) − conf(Bₙ)|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N=total samples  Bₙ=confidence bins  acc=actual accuracy  conf=predicted confidence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3.5 MaxSim late interaction retrieval (ColPali)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Traditional text-chunk RAG destroys 2D spatial relationships. Visual RAG via ColPali fixes this. Given query Q with |Q| token vectors and document image D with |D| patch vectors: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MaxSim(Q, D) = Σᵢ max_j sim(qᵢ, dⱼ)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Each query token independently finds its best-matching visual patch. Retrieves charts, infographics, and tables natively.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Computational complexity scales as O(Q · k · L · M). Binary Quantization (BQ) of ColPali patch embeddings reduces 1024-dim float32 vectors to binary representations — storage footprint reduced 96% with statistically insignificant degradation in recall@k.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3.6 Hybrid retrieval fusion score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the Index service, store three representations per document chunk and fuse at query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4"/>
              <w:left w:val="single" w:color="3C3489" w:sz="4"/>
              <w:bottom w:val="single" w:color="3C3489" w:sz="4"/>
              <w:right w:val="single" w:color="3C3489" w:sz="4"/>
            </w:tcBorders>
            <w:shd w:fill="EEEDFE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4"/>
                <w:szCs w:val="24"/>
              </w:rPr>
              <w:t xml:space="preserve">S(d, q) = α·S_dense + β·S_sparse + γ·S_visual + δ·S_meta + ε·S_rerank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19"/>
                <w:szCs w:val="19"/>
              </w:rPr>
              <w:t xml:space="preserve">α=0.30  β=0.20  γ·S_visual=0.30  δ=0.10  ε=0.10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Components: S_dense=semantic vector similarity · S_sparse=BM25 lexical · S_visual=MaxSim ColPali · S_meta=recency+doctype boost · S_rerank=cross-encoder reranker. Use Reciprocal Rank Fusion when score scales differ between rankers.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Data Model &amp; API Contract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Core entities (PostgreSQL)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table includes workspace_id for row-level security isolation. Core entity hierarchy: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 &amp; relationships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name, plan, owner_user_id, settings, created_at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workspace_id, name, description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project_id, filename, file_hash_sha256, page_count, status, storage_path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FileVersion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document_id, version_num, uploaded_at, storage_key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document_id, config_json, status, started_at, completed_at, cost_credits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ParseBlock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parse_run_id, page, type, bbox_json, reading_order_rank, text, html, confidence_json, source_json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Citation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parse_block_id, field_name, matching_text, bbox_json, page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ExtractionSchemaVersion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workspace_id, schema_json, version, created_at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document_id, schema_version_id, result_json, confidence_json, 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document_id, config, result_segments_json, 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document_id, taxonomy_json, result_json, 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IndexCollection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workspace_id, name, embedding_model, quantization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collection_id, parse_block_id, text, dense_vector_ref, sparse_vector_ref, colpali_patch_refs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EmbeddingSet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chunk_id, model, vectors_stored_at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EvalSuite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workspace_id, name, benchmark_type, config_json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suite_id, parse_run_id, scores_json, ran_at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HumanReviewAction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parse_block_id, reviewer_id, correction_type, original_json, corrected_json, used_for_training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WebhookDelivery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endpoint_url, event_type, payload_json, delivered_at, status_code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ParseBlock JSON schema (the atomic unit)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"block_id": "blk_a1b2c3",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"page": 7,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"table|paragraph|header|figure|equation|form|handwriting|footer",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"bbox": { "x": 0.12, "y": 0.33, "w": 0.48, "h": 0.22, "coord_space": "page_norm" },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"reading_order_rank": 14,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"text": "...",  "html": "...",  "children": ["blk_..."],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"source": {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"native_pdf": true,  "ocr_engine": "paddleocr_vl",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"vlm_engine": "mineru_2.5_pro",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"verifier": { "score": 0.91, "components": { "ssim": 0.94, "layout_iou": 0.88 } }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"confidence": { "overall": 0.84, "calibrated": 0.79, "uncalibrated": 0.88 }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ExtractionRun result schema (field-level citations)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"data": { "invoice_number": "INV-912371", "total": 4250.00 },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"field_metadata": {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"invoice_number": {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"confidence": { "calibrated": 0.93, "raw": 0.88 },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"citations": [{ "page": 2, "matching_text": "Invoice No. 912371",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"bboxes": [{ "x": 0.51, "y": 0.14, "w": 0.19, "h": 0.03 }] }],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"validators": [{ "name": "regex", "pattern": "INV-\\d+", "status": "pass" }],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"warnings": []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API Surface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/v1/files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document. Returns file_id. Triggers intake agent.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/v1/parse/runs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parse job. Body: { file_id, config }. Returns job_id.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 /v1/parse/runs/{id}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Poll job status. Returns status + cost_credits_used.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 /v1/parse/runs/{id}/blocks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Retrieve full JSON AST with all ParseBlocks.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/v1/extract/schemas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or version an extraction schema (Pydantic/JSON Schema).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/v1/extract/runs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schema extraction against a parsed document.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/v1/split/runs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Segment a bundled PDF into logical sub-documents.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/v1/classify/runs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Classify pages against a user-defined taxonomy.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/v1/index/collections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visual RAG collection.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/v1/index/collections/{id}/sync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parsed documents to a collection (triggers ColPali embedding).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/v1/retrieval/query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MaxSim visual search. Returns image patches + bbox coordinates.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/v1/chat/sessions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over indexed documents with cited answers.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/v1/reviews/actions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human correction for a parse block (feeds training loop).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/v1/evals/suites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a benchmark evaluation suite.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/v1/evals/runs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 benchmark suite against a parse run.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/v1/webhooks/endpoints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webhook for async job completion events.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5.2 Key parse configuration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 flag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use_vlm: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complex regions to MinerU2.5-Pro NaViT (more accurate, higher cost)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enable_colpali: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ColPali visual patch embeddings for RAG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document_anchoring: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 native PDF text coordinates into VLM prompts (reduces hallucinations)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enable_verifier: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render-and-compare verification on all blocks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table_stitching: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cross-page table merge using S(T_a, T_b) formula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calibrate_confidence: bool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isotonic regression calibration to all confidence scores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webhook_url: string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Callback URL for async completion notification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Phase-by-Phase Build Plan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Six phases across 6 months. Each phase has a concrete exit criterion that must pass before proceeding. Do not skip phases — the artifact contract from Phase 1 is the foundation everything else depends 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6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260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Week 1
(Foundation)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Operator loop + artifact contract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FastAPI, PostgreSQL, MinIO, Celery/Redis, Next.js PDF.js viewer, PyMuPDF rasterizer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PDF, trigger dummy parse job, view page renders with bbox overlays. Every job persists originals + renders + logs to MinIO.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 1
(MVP Parser)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Two baseline parsers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DocLayNet YOLOv9, PaddleOCR-VL, Marker baseline, pdfplumber native text, document-anchoring (olmOCR)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Machine PDFs and simple scans → inspectable Markdown/JSON. Baseline TEDS measured on golden set.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 2
(Accuracy)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MinerU 2.5-Pro + reading order graph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MinerU2.5-Pro NaViT, Triton, vLLM, ReadingBank graph training, TEDS evaluation harness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Beat Marker baseline on golden set: tables and multi-column order. Verifier flags mismatches. Per-block confidence logged.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 3
(Extract + Index)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Schema extraction + ColPali RAG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Pydantic schema UI, SGLang constrained decode, ColPali/ColQwen, Qdrant BQ, zero-shot classification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Upload → extract JSON with bbox citations → visual RAG query returns correct patches. NDCG@5 &gt; 0.80 on ViDoRe.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 4
(Eval harness)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Benchmarks + calibration + correction loop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PureDocBench, Real5-OmniDocBench, isotonic regression ECE, human review queue, correction → training pipeline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Every release auto-benchmarked. ECE &lt; 0.05. Human corrections feed training data.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 5-6
(Enterprise)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BYOC, RBAC, HIPAA/GDPR, pricing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Temporal, Postgres RLS, TLS 1.3 + AES-256 at rest, Kubernetes Helm charts, webhook dispatchers, SOC2 logging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Pilot-ready for finance/legal/insurance design partner. Self-host deployment works in clean VPC &lt; 1 hour.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6.1 Week 1 — concrete first tasks (in order)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golden_set/ directory with: one SEC 10-K filing, one invoice, one bank statement, one scanned contract, one multi-column academic paper with math, one phone-photo document, one handwritten note.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 up Docker Compose: FastAPI + PostgreSQL + MinIO + Redis + Celery. One endpoint: POST /v1/parse/runs. Returns job_id. Worker rasterises pages to MinIO.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artifact contract: every job writes to MinIO paths: originals/ renders/ crops/ ast/ logs/. Never skip. Never delete intermediates.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parse debugger UI in Next.js: left panel = PDF.js original, right panel = Markdown output. Bounding boxes overlay left panel from AST JSON.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two parser baselines: Marker (markup-first) and PaddleOCR-VL (OCR-first). Measure page-by-page on golden set. Not whole-document — per region.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document anchoring: for every born-digital PDF, extract native text coordinates via PyMuPDF and inject alongside rasterised image in every downstream VLM prompt.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 human_visible_verifier_stub: render predicted Markdown to HTML, display beside source page, allow reviewer to flag mismatch types. Creates labelled training data.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UI/UX Blueprint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interface must prioritise extreme transparency, interactive debuggability, and seamless human-in-the-loop workflows. Every playground follows the same spine: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upload → configure → run → inspect → correct → save as reusable config → batch apply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components &amp; differentiators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playground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PDF.js viewer + bbox overlays + Markdown editor + JSON AST view + HTML preview + parse diff across runs + render-and-compare score + mismatch map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playground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Drag-and-drop schema builder (Pydantic) + sample doc test + extracted JSON + field-level citations (click field → bbox highlights on PDF) + validation errors + confidence heatmap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playground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Page-class timeline + category definitions + segment ranges + drag-to-adjust boundaries + transition evidence view + uncertainty visualisation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Classify playground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 descriptions + few-shot examples + batch classifier + confusion matrix + human corrections + active-learning suggestions + threshold simulator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 playground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Chunking options + retrieved pages + block-level matches + answer with citations + rerank controls + dense/sparse/visual score decomposition + retrieval debugger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Low-confidence or high-risk jobs + SLA priority + side-by-side original and proposed correction + audit log + corrections feed training loop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 heatmap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ECE confidence overlay on PDF canvas. Low-confidence extractions glow red/orange. Click hotspot → trigger Human Correction Modal.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Citation inspector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[View Citation] badge next to every extracted JSON key. Click → zoomed crop on original image proving no hallucination.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/ billing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Per-workspace cost metrics, per-stage usage breakdown, credit simulator, configurable routing policies (disable expensive verifier for batch jobs)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management: Zustand, synchronising selectedBlockId, hoveredBlockId, zoomLevel continuously across image viewer, text editor, and pipeline log console.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Security, Privacy &amp; Enterprise Posture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8.1 Multi-tenancy isolation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table in PostgreSQL has workspace_id. Enable Row-Level Security (RLS) on every document-bearing table.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Pair RLS with object-store prefix isolation: MinIO path = /{workspace_id}/{document_id}/...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Signed URLs for all MinIO downloads. Service-to-service IAM boundaries. OWASP broken object-level authorization is the top API risk — address it from day one.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8.2 Encryption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transit: TLS 1.3 everywhere. No HTTP fallback.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rest: AES-256 for object storage volumes and database volumes.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keys: bcrypt-hashed in PostgreSQL. Scoped to specific actions: read:documents, write:schemas, execute:parse.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8.3 HIPAA / GDPR compliance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 Delete Document Flow: cascading removal of raw file + intermediate images + JSON ASTs + vector database embeddings. Guaranteed, logged, auditable.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Zero-training-on-customer-data policy: explicit guarantee in ToS. Do NOT use customer documents to train or fine-tune models without explicit opt-in. This is a critical differentiator against commercial APIs.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Per-workspace retention policies. Portable audit logs. NIST SP 800-53 as the public control catalog for structuring the control set.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8.4 BYOC / self-hosting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full Kubernetes Helm charts. Allow organisations to deploy the entire stack within their own VPC.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Absolute control over network ingress and data residency. No telemetry without explicit opt-in.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Target markets: legal, healthcare, fintech. These segments cannot send sensitive documents to commercial multi-tenant cloud APIs.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Pricing Model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market strongly favours page-based pricing. LlamaParse prices in credits per page. Google Document AI prices per 1,000 pages. AWS Textract per page. Your differentiator is not just page pricing — it is predictability.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Parse-only (cheap)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 text extraction + PaddleOCR path. No VLM, no verifier. Lowest cost per page. Good for simple text-heavy documents.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Parse-with-verification (standard)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pipeline including MinerU2.5-Pro for complex regions + render-and-compare verifier. Standard enterprise tier.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Extraction surcharge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Billed only when extraction runs. Schema-driven JSON extraction with citations.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Retrieval (index)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Billed by stored pages + query volume. ColPali patch embeddings stored in Qdrant.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 self-host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Annual platform licence + support. One-time. Customer runs all compute on own infra.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Differentiators in pricing UX: cost simulator before every run (show predicted credit spend before confirming), per-stage usage breakdown in billing dashboard, configurable routing policies (disable expensive verifier for batch low-stakes jobs to reduce cost by up to 40%).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Evaluation &amp; Benchmarking Plan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10.1 Golden set (build this first — before any ML)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Include at minimum: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SEC 10-K filing (dense tables, multi-column, embedded charts)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invoice pack (key-value extraction, numeric fields)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bank statement (tabular data, running totals)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scanned contract (real degradation, handwriting)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multi-column academic paper with mathematical formulas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phone-photo document (skew, warp, illumination variation)</w:t>
      </w:r>
    </w:p>
    <w:p>
      <w:pPr>
        <w:pStyle w:val="ListParagraph"/>
        <w:numPr>
          <w:ilvl w:val="0"/>
          <w:numId w:val="3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handwritten note page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expected Markdown, table structures, citations, and field extractions for each. This is your regression test suite.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10.2 Public benchmark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Benchmark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tests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OmniDocBench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 facto industry standard — diverse layout types (academic, financial, legal) with rich annotations for end-to-end extraction evaluation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Real5-OmniDocBench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for real-world resilience. Evaluates under 5 degradation conditions: Scanning, Warping (curved book spines), Screen-Photography (moiré), Illumination (shadows/glare), Skew (perspective distortion)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PureDocBench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Synthetic HTML-generated documents — completely shields evaluation from VLM pre-training data contamination. True measure of generalisation.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ViDoRe / ViDoRe v2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document retrieval benchmark. Target NDCG@5 &gt; 80.0. v2 adds blind contextual queries, long queries, cross-document, multilingual.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ParseBench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Tables, charts, content faithfulness, semantic formatting, visual grounding. Note: released by LlamaIndex ecosystem — informative but not neutral.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10.3 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Structure Accuracy (TEDS)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92% on Real5-OmniDocBench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 Recognition (Edit Distance)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Exceed MinerU2.5 baseline on complex matrices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Retrieval Faithfulness (NDCG@5)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80.0 on ViDoRe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 ECE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0.05 after isotonic calibration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Operational cost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$0.50 per 1,000 pages (SGLang batching target: ~$0.19/1M pages)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5,000 pages/hour on single A100 GPU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latency p95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8 seconds per page for full VLM pipeline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888780" w:sz="4"/>
              <w:left w:val="single" w:color="888780" w:sz="4"/>
              <w:bottom w:val="single" w:color="888780" w:sz="4"/>
              <w:right w:val="single" w:color="888780" w:sz="4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Computational cost: VLM inference (1.2B–7B params) is magnitudes more expensive than Tesseract OCR. GPU wait times → unacceptable job latency.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SGLang aggressive prefix caching and batching. Rely heavily on Layout Triage Agent to route simple text-heavy pages to cheap CPU OCR engines. Only route complex regions to VLMs.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database bloat: ColPali generates thousands of multi-vector patch representations per page, rapidly consuming RAM and disk.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Binary Quantization (BQ) from day 1 in Qdrant. Scalar rescale at vector DB level. Target: 96% storage reduction with near-zero MaxSim recall degradation.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Generative hallucinations: Even advanced VLMs hallucinate table values or misinterpret reading order on ambiguous pixels.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Document-anchoring strictly bounds generative output to underlying PDF binary text. Render-and-compare verification algorithmically flags structural drift before user ever sees 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privacy / compliance rejection: Enterprises will reject cloud APIs that risk exposing PII or proprietary IP.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BYOC open-core strategy from day 1. Kubernetes Helm charts let enterprises run the entire stack behind their own firewalls. Zero-training-on-customer-data guarantee in ToS.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Benchmark contamination: VLMs may have seen benchmark documents in pre-training.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PureDocBench (synthetically generated HTML) for contamination-immune evaluation. Always test on Real5-OmniDocBench for degradation robustness.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Repository Structure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documind/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api/                        # FastAPI application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    # App entrypoint, middleware, CORS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routers/                # One file per resource (parse, extract, index...)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models/                 # SQLAlchemy ORM models (all with workspace_id)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schemas/                # Pydantic request/response schemas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deps.py                 # Auth, DB session, workspace isolation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workers/                    # Celery/Temporal worker tasks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intake.py               # Agent 1: anchoring, rasterisation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layout.py               # Agent 2: YOLOv9 layout detection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specialist/             # Agent 3: paddleocr, mineru, olmocr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assembly.py             # Agent 4: reading order graph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verifier.py             # Agent 5: render-and-compare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extraction.py           # Agent 6: schema extraction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indexing.py             # Agent 7: ColPali + Qdrant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ml/                         # Model training + evaluation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reading_order/          # Layout graph training (ReadingBank)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calibration/            # Isotonic regression ECE calibration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table_loss/             # L_table training objective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benchmarks/             # OmniDocBench, PureDocBench adapters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                   # Next.js 14 app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app/                    # App router pages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components/             # Parse debugger, schema builder, heatmap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lib/                    # API client, Zustand stores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infra/                      # Kubernetes Helm charts + Docker Compose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docker-compose.yml      # Local dev: postgres, redis, minio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helm/                   # BYOC Kubernetes charts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terraform/              # Cloud infra (optional)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golden_set/                 # Ground truth documents (NEVER delete)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sec_10k.pdf + expected.json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invoice.pdf + expected.json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...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tests/                      # pytest suites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unit/                   # Per-function formula tests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integration/            # End-to-end pipeline tests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regression/             # Golden set regression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pyproject.toml              # Python dependencies</w:t>
      </w:r>
    </w:p>
    <w:p>
      <w:pPr>
        <w:pBdr>
          <w:left w:val="single" w:color="0F6E56" w:sz="12" w:space="4"/>
        </w:pBdr>
        <w:shd w:fill="F5F5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README.md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F6E5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Coding Standards &amp; Non-Negotiables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13.1 Backend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3.11+. Type hints everywhere. Pydantic models for all API boundaries.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Async all the way down. Every DB call, every MinIO write, every HTTP call uses async/await.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workspace_id on every table. RLS enabled in PostgreSQL. Every query must filter by workspace.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delete parse intermediates. Originals + page renders + crops + ASTs + logs persist forever (until explicit user delete flow).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confidence score that reaches the API must be both calibrated and uncalibrated. Never expose only raw.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extracted field must have at minimum one citation (page number + bbox). Fields without citations are a bug.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13.2 Frontend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strict mode. No any types.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PDF.js canvas overlays for ALL bounding box visualisation — do not use CSS absolute positioning over an img tag.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Zustand for cross-component parse state (selectedBlockId must sync across PDF viewer, AST tree, Markdown editor simultaneously).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confidence score displayed to the user must show both calibrated and raw values with a tooltip explaining the difference.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Citation badges on every extracted JSON field — [View Citation] must open the cropped source region.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13.3 ML / pipelines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pick one OCR model and stop. Benchmark each as a module in the evaluation harness.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parser baselines always running: one markup-first (Marker/Docling) and one OCR-first (Surya/PaddleOCR). Measure page-by-page, not whole-document.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 anchoring is NOT optional for born-digital PDFs. It is always on. Hallucination reduction is non-negotiable.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Verifier L_verify must be logged per-block on every parse run. It is training data for the repair loop.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Treat vendor-reported benchmark numbers as unverified until you reproduce them independently.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DocuMind AI — Project Guideline v1.0</w:t>
      </w:r>
    </w:p>
    <w:p>
      <w:pPr>
        <w:spacing w:before="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This document is the authoritative source for all architecture, math, and build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44441"/>
        <w:sz w:val="18"/>
        <w:szCs w:val="18"/>
      </w:rPr>
      <w:t xml:space="preserve">DocuMind AI — Internal Build Document   |   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1"/>
        <w:sz w:val="18"/>
        <w:szCs w:val="18"/>
      </w:rPr>
      <w:t xml:space="preserve"> of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single" w:color="E1F5EE" w:sz="4"/>
            <w:right w:val="none" w:color="FFFFFF" w:sz="0"/>
          </w:tcBorders>
          <w:shd w:fill="0F6E56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DocuMind AI Platform — Project Guideline &amp; Developer Blueprint</w:t>
          </w:r>
        </w:p>
      </w:tc>
      <w:tc>
        <w:tcPr>
          <w:tcBorders>
            <w:top w:val="none" w:color="FFFFFF" w:sz="0"/>
            <w:left w:val="none" w:color="FFFFFF" w:sz="0"/>
            <w:bottom w:val="single" w:color="E1F5EE" w:sz="4"/>
            <w:right w:val="none" w:color="FFFFFF" w:sz="0"/>
          </w:tcBorders>
          <w:shd w:fill="E1F5EE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0F6E56"/>
              <w:sz w:val="18"/>
              <w:szCs w:val="18"/>
            </w:rPr>
            <w:t xml:space="preserve">v1.0 —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93C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2026-06-02T05:13:36.674Z</dcterms:created>
  <dcterms:modified xsi:type="dcterms:W3CDTF">2026-06-02T05:13:36.689Z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