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Times New Roman" w:cs="Times New Roman" w:eastAsia="Times New Roman" w:hAnsi="Times New Roman"/>
          <w:b/>
          <w:bCs/>
          <w:color w:val="1F3864"/>
          <w:sz w:val="32"/>
          <w:szCs w:val="32"/>
        </w:rPr>
        <w:t xml:space="preserve">AN INTERNSHIP REPORT</w:t>
      </w:r>
    </w:p>
    <w:p>
      <w:pPr>
        <w:spacing w:after="400"/>
        <w:jc w:val="center"/>
      </w:pPr>
      <w:r>
        <w:rPr>
          <w:rFonts w:ascii="Times New Roman" w:cs="Times New Roman" w:eastAsia="Times New Roman" w:hAnsi="Times New Roman"/>
          <w:color w:val="595959"/>
          <w:sz w:val="24"/>
          <w:szCs w:val="24"/>
        </w:rPr>
        <w:t xml:space="preserve">ON</w:t>
      </w:r>
    </w:p>
    <w:p>
      <w:pPr>
        <w:spacing w:after="100"/>
        <w:jc w:val="center"/>
      </w:pPr>
      <w:r>
        <w:rPr>
          <w:rFonts w:ascii="Times New Roman" w:cs="Times New Roman" w:eastAsia="Times New Roman" w:hAnsi="Times New Roman"/>
          <w:b/>
          <w:bCs/>
          <w:color w:val="1F3864"/>
          <w:sz w:val="40"/>
          <w:szCs w:val="40"/>
        </w:rPr>
        <w:t xml:space="preserve">ApexSupport AI</w:t>
      </w:r>
    </w:p>
    <w:p>
      <w:pPr>
        <w:spacing w:after="500"/>
        <w:jc w:val="center"/>
      </w:pPr>
      <w:r>
        <w:rPr>
          <w:rFonts w:ascii="Times New Roman" w:cs="Times New Roman" w:eastAsia="Times New Roman" w:hAnsi="Times New Roman"/>
          <w:i/>
          <w:iCs/>
          <w:color w:val="595959"/>
          <w:sz w:val="26"/>
          <w:szCs w:val="26"/>
        </w:rPr>
        <w:t xml:space="preserve">A Hybrid Semantic–Lexical Retrieval Architecture for Intelligent Customer Support and FAQ Automation</w:t>
      </w:r>
    </w:p>
    <w:p>
      <w:pPr>
        <w:spacing w:after="100"/>
        <w:jc w:val="center"/>
      </w:pPr>
      <w:r>
        <w:rPr>
          <w:rFonts w:ascii="Times New Roman" w:cs="Times New Roman" w:eastAsia="Times New Roman" w:hAnsi="Times New Roman"/>
          <w:sz w:val="22"/>
          <w:szCs w:val="22"/>
        </w:rPr>
        <w:t xml:space="preserve">Submitted in partial fulfilment of the requirements for the award of the degree of</w:t>
      </w:r>
    </w:p>
    <w:p>
      <w:pPr>
        <w:spacing w:after="100"/>
        <w:jc w:val="center"/>
      </w:pPr>
      <w:r>
        <w:rPr>
          <w:rFonts w:ascii="Times New Roman" w:cs="Times New Roman" w:eastAsia="Times New Roman" w:hAnsi="Times New Roman"/>
          <w:b/>
          <w:bCs/>
          <w:sz w:val="24"/>
          <w:szCs w:val="24"/>
        </w:rPr>
        <w:t xml:space="preserve">BACHELOR OF TECHNOLOGY</w:t>
      </w:r>
    </w:p>
    <w:p>
      <w:pPr>
        <w:spacing w:after="400"/>
        <w:jc w:val="center"/>
      </w:pPr>
      <w:r>
        <w:rPr>
          <w:rFonts w:ascii="Times New Roman" w:cs="Times New Roman" w:eastAsia="Times New Roman" w:hAnsi="Times New Roman"/>
          <w:sz w:val="22"/>
          <w:szCs w:val="22"/>
        </w:rPr>
        <w:t xml:space="preserve">in Computer Science and Engineering (Artificial Intelligence &amp; Machine Learning)</w:t>
      </w:r>
    </w:p>
    <w:p>
      <w:pPr>
        <w:spacing w:after="100"/>
        <w:jc w:val="center"/>
      </w:pPr>
      <w:r>
        <w:rPr>
          <w:rFonts w:ascii="Times New Roman" w:cs="Times New Roman" w:eastAsia="Times New Roman" w:hAnsi="Times New Roman"/>
          <w:sz w:val="22"/>
          <w:szCs w:val="22"/>
        </w:rPr>
        <w:t xml:space="preserve">Submitted by</w:t>
      </w:r>
    </w:p>
    <w:p>
      <w:pPr>
        <w:spacing w:after="60"/>
        <w:jc w:val="center"/>
      </w:pPr>
      <w:r>
        <w:rPr>
          <w:rFonts w:ascii="Times New Roman" w:cs="Times New Roman" w:eastAsia="Times New Roman" w:hAnsi="Times New Roman"/>
          <w:b/>
          <w:bCs/>
          <w:sz w:val="28"/>
          <w:szCs w:val="28"/>
        </w:rPr>
        <w:t xml:space="preserve">AYUSH DIXIT</w:t>
      </w:r>
    </w:p>
    <w:p>
      <w:pPr>
        <w:spacing w:after="60"/>
        <w:jc w:val="center"/>
      </w:pPr>
      <w:r>
        <w:rPr>
          <w:rFonts w:ascii="Times New Roman" w:cs="Times New Roman" w:eastAsia="Times New Roman" w:hAnsi="Times New Roman"/>
          <w:sz w:val="22"/>
          <w:szCs w:val="22"/>
        </w:rPr>
        <w:t xml:space="preserve">Roll Number: 2410030869</w:t>
      </w:r>
    </w:p>
    <w:p>
      <w:pPr>
        <w:spacing w:after="500"/>
        <w:jc w:val="center"/>
      </w:pPr>
      <w:r>
        <w:rPr>
          <w:rFonts w:ascii="Times New Roman" w:cs="Times New Roman" w:eastAsia="Times New Roman" w:hAnsi="Times New Roman"/>
          <w:sz w:val="22"/>
          <w:szCs w:val="22"/>
        </w:rPr>
        <w:t xml:space="preserve">Batch: 2026–2027</w:t>
      </w:r>
    </w:p>
    <w:p>
      <w:pPr>
        <w:spacing w:after="60"/>
        <w:jc w:val="center"/>
      </w:pPr>
      <w:r>
        <w:rPr>
          <w:rFonts w:ascii="Times New Roman" w:cs="Times New Roman" w:eastAsia="Times New Roman" w:hAnsi="Times New Roman"/>
          <w:b/>
          <w:bCs/>
          <w:sz w:val="24"/>
          <w:szCs w:val="24"/>
        </w:rPr>
        <w:t xml:space="preserve">School of Computer Science and Engineering</w:t>
      </w:r>
    </w:p>
    <w:p>
      <w:pPr>
        <w:spacing w:after="60"/>
        <w:jc w:val="center"/>
      </w:pPr>
      <w:r>
        <w:rPr>
          <w:rFonts w:ascii="Times New Roman" w:cs="Times New Roman" w:eastAsia="Times New Roman" w:hAnsi="Times New Roman"/>
          <w:b/>
          <w:bCs/>
          <w:color w:val="1F3864"/>
          <w:sz w:val="24"/>
          <w:szCs w:val="24"/>
        </w:rPr>
        <w:t xml:space="preserve">IILM UNIVERSITY, GREATER NOIDA, UTTAR PRADESH</w:t>
      </w:r>
    </w:p>
    <w:p>
      <w:pPr>
        <w:spacing w:after="60"/>
        <w:jc w:val="center"/>
      </w:pPr>
      <w:r>
        <w:rPr>
          <w:rFonts w:ascii="Times New Roman" w:cs="Times New Roman" w:eastAsia="Times New Roman" w:hAnsi="Times New Roman"/>
          <w:sz w:val="22"/>
          <w:szCs w:val="22"/>
        </w:rPr>
        <w:t xml:space="preserve">2026</w:t>
      </w:r>
    </w:p>
    <w:p>
      <w:pPr>
        <w:sectPr>
          <w:pgSz w:w="11906" w:h="16838" w:orient="portrait"/>
          <w:pgMar w:top="1440" w:right="1440" w:bottom="1440" w:left="1440" w:header="708" w:footer="708" w:gutter="0"/>
          <w:pgNumType/>
          <w:docGrid w:linePitch="360"/>
        </w:sectPr>
      </w:pPr>
    </w:p>
    <w:p>
      <w:pPr>
        <w:pStyle w:val="Heading1"/>
        <w:spacing w:after="200" w:before="360"/>
      </w:pPr>
      <w:r>
        <w:rPr>
          <w:rFonts w:ascii="Times New Roman" w:cs="Times New Roman" w:eastAsia="Times New Roman" w:hAnsi="Times New Roman"/>
          <w:b/>
          <w:bCs/>
          <w:color w:val="1F3864"/>
          <w:sz w:val="30"/>
          <w:szCs w:val="30"/>
        </w:rPr>
        <w:t xml:space="preserve">Candidate's Declaration</w:t>
      </w:r>
    </w:p>
    <w:p>
      <w:pPr>
        <w:spacing w:after="160" w:line="300"/>
        <w:jc w:val="both"/>
      </w:pPr>
      <w:r>
        <w:rPr>
          <w:rFonts w:ascii="Times New Roman" w:cs="Times New Roman" w:eastAsia="Times New Roman" w:hAnsi="Times New Roman"/>
          <w:sz w:val="24"/>
          <w:szCs w:val="24"/>
        </w:rPr>
        <w:t xml:space="preserve">I, Ayush Dixit, Roll Number 2410030869, hereby declare that the internship report entitled “ApexSupport AI – Intelligent NLP Customer Support &amp; FAQ Chatbot” is submitted by me in partial fulfilment of the requirements for the award of the degree of Bachelor of Technology in Computer Science and Engineering (Artificial Intelligence &amp; Machine Learning) at the School of Computer Science and Engineering, IILM University, Greater Noida.</w:t>
      </w:r>
    </w:p>
    <w:p>
      <w:pPr>
        <w:spacing w:after="160" w:line="300"/>
        <w:jc w:val="both"/>
      </w:pPr>
      <w:r>
        <w:rPr>
          <w:rFonts w:ascii="Times New Roman" w:cs="Times New Roman" w:eastAsia="Times New Roman" w:hAnsi="Times New Roman"/>
          <w:sz w:val="24"/>
          <w:szCs w:val="24"/>
        </w:rPr>
        <w:t xml:space="preserve">The report presents an account of the design rationale, technical architecture, and implementation methodology of the ApexSupport AI platform, compiled on the basis of the project repository description and internship documentation supplied to me by the host organisation. All sources of information, whether published or unpublished, that have been drawn upon in the preparation of this report have been duly acknowledged in the Bibliography. I affirm that the work represented herein is the outcome of my own study and compilation, and that this report, in whole or in part, has not been submitted previously to this or any other University or Institute for the award of any degree or diploma.</w:t>
      </w:r>
    </w:p>
    <w:p>
      <w:pPr>
        <w:spacing w:after="160" w:line="300"/>
        <w:jc w:val="both"/>
      </w:pPr>
      <w:r>
        <w:rPr>
          <w:rFonts w:ascii="Times New Roman" w:cs="Times New Roman" w:eastAsia="Times New Roman" w:hAnsi="Times New Roman"/>
          <w:sz w:val="24"/>
          <w:szCs w:val="24"/>
        </w:rPr>
        <w:t xml:space="preserve">I shall be solely responsible for any breach of copyright or academic-integrity norms arising from material submitted by me as part of this report.</w:t>
      </w:r>
    </w:p>
    <w:p>
      <w:pPr>
        <w:spacing w:after="60" w:before="400"/>
      </w:pPr>
      <w:r>
        <w:rPr>
          <w:rFonts w:ascii="Times New Roman" w:cs="Times New Roman" w:eastAsia="Times New Roman" w:hAnsi="Times New Roman"/>
          <w:sz w:val="24"/>
          <w:szCs w:val="24"/>
        </w:rPr>
        <w:t xml:space="preserve">Signature: ______________________________</w:t>
      </w:r>
    </w:p>
    <w:p>
      <w:pPr>
        <w:spacing w:after="60"/>
      </w:pPr>
      <w:r>
        <w:rPr>
          <w:rFonts w:ascii="Times New Roman" w:cs="Times New Roman" w:eastAsia="Times New Roman" w:hAnsi="Times New Roman"/>
          <w:sz w:val="24"/>
          <w:szCs w:val="24"/>
        </w:rPr>
        <w:t xml:space="preserve">Name: Ayush Dixit</w:t>
      </w:r>
    </w:p>
    <w:p>
      <w:pPr>
        <w:spacing w:after="60"/>
      </w:pPr>
      <w:r>
        <w:rPr>
          <w:rFonts w:ascii="Times New Roman" w:cs="Times New Roman" w:eastAsia="Times New Roman" w:hAnsi="Times New Roman"/>
          <w:sz w:val="24"/>
          <w:szCs w:val="24"/>
        </w:rPr>
        <w:t xml:space="preserve">Roll No.: 2410030869</w:t>
      </w:r>
    </w:p>
    <w:p>
      <w:pPr>
        <w:spacing w:after="60"/>
      </w:pPr>
      <w:r>
        <w:rPr>
          <w:rFonts w:ascii="Times New Roman" w:cs="Times New Roman" w:eastAsia="Times New Roman" w:hAnsi="Times New Roman"/>
          <w:sz w:val="24"/>
          <w:szCs w:val="24"/>
        </w:rPr>
        <w:t xml:space="preserve">Date: __________________</w:t>
      </w:r>
    </w:p>
    <w:p>
      <w:r>
        <w:br w:type="page"/>
      </w:r>
    </w:p>
    <w:p>
      <w:pPr>
        <w:pStyle w:val="Heading1"/>
        <w:spacing w:after="200" w:before="360"/>
      </w:pPr>
      <w:r>
        <w:rPr>
          <w:rFonts w:ascii="Times New Roman" w:cs="Times New Roman" w:eastAsia="Times New Roman" w:hAnsi="Times New Roman"/>
          <w:b/>
          <w:bCs/>
          <w:color w:val="1F3864"/>
          <w:sz w:val="30"/>
          <w:szCs w:val="30"/>
        </w:rPr>
        <w:t xml:space="preserve">Acknowledgement</w:t>
      </w:r>
    </w:p>
    <w:p>
      <w:pPr>
        <w:spacing w:after="160" w:line="300"/>
        <w:jc w:val="both"/>
      </w:pPr>
      <w:r>
        <w:rPr>
          <w:rFonts w:ascii="Times New Roman" w:cs="Times New Roman" w:eastAsia="Times New Roman" w:hAnsi="Times New Roman"/>
          <w:sz w:val="24"/>
          <w:szCs w:val="24"/>
        </w:rPr>
        <w:t xml:space="preserve">I would like to place on record my sincere gratitude to the School of Computer Science and Engineering, IILM University, Greater Noida, for providing the academic environment, technical resources, and mentorship necessary for the successful completion of this internship. My appreciation extends to the faculty members whose critical feedback substantially shaped the analytical rigour of this report.</w:t>
      </w:r>
    </w:p>
    <w:p>
      <w:pPr>
        <w:spacing w:after="160" w:line="300"/>
        <w:jc w:val="both"/>
      </w:pPr>
      <w:r>
        <w:rPr>
          <w:rFonts w:ascii="Times New Roman" w:cs="Times New Roman" w:eastAsia="Times New Roman" w:hAnsi="Times New Roman"/>
          <w:sz w:val="24"/>
          <w:szCs w:val="24"/>
        </w:rPr>
        <w:t xml:space="preserve">I am grateful to Codec Technologies Pvt. Ltd. and to Dr. Anurag Shrivastava, Program Manager, for the opportunity to undertake a three-month, AICTE &amp; ICAC approved internship as an Artificial Intelligence Intern, during which I gained applied exposure to natural language processing, hybrid information retrieval, backend service design, and database-driven web application development.</w:t>
      </w:r>
    </w:p>
    <w:p>
      <w:pPr>
        <w:spacing w:after="160" w:line="300"/>
        <w:jc w:val="both"/>
      </w:pPr>
      <w:r>
        <w:rPr>
          <w:rFonts w:ascii="Times New Roman" w:cs="Times New Roman" w:eastAsia="Times New Roman" w:hAnsi="Times New Roman"/>
          <w:sz w:val="24"/>
          <w:szCs w:val="24"/>
        </w:rPr>
        <w:t xml:space="preserve">Finally, I acknowledge with gratitude the encouragement of my peers and family, whose support sustained the sustained effort required to design, implement, and document this work.</w:t>
      </w:r>
    </w:p>
    <w:p>
      <w:pPr>
        <w:spacing w:after="60" w:before="400"/>
      </w:pPr>
      <w:r>
        <w:rPr>
          <w:rFonts w:ascii="Times New Roman" w:cs="Times New Roman" w:eastAsia="Times New Roman" w:hAnsi="Times New Roman"/>
          <w:sz w:val="24"/>
          <w:szCs w:val="24"/>
        </w:rPr>
        <w:t xml:space="preserve">Signature: ______________________________</w:t>
      </w:r>
    </w:p>
    <w:p>
      <w:pPr>
        <w:spacing w:after="60"/>
      </w:pPr>
      <w:r>
        <w:rPr>
          <w:rFonts w:ascii="Times New Roman" w:cs="Times New Roman" w:eastAsia="Times New Roman" w:hAnsi="Times New Roman"/>
          <w:sz w:val="24"/>
          <w:szCs w:val="24"/>
        </w:rPr>
        <w:t xml:space="preserve">Ayush Dixit</w:t>
      </w:r>
    </w:p>
    <w:p>
      <w:pPr>
        <w:spacing w:after="60"/>
      </w:pPr>
      <w:r>
        <w:rPr>
          <w:rFonts w:ascii="Times New Roman" w:cs="Times New Roman" w:eastAsia="Times New Roman" w:hAnsi="Times New Roman"/>
          <w:sz w:val="24"/>
          <w:szCs w:val="24"/>
        </w:rPr>
        <w:t xml:space="preserve">Roll No.: 2410030869</w:t>
      </w:r>
    </w:p>
    <w:p>
      <w:r>
        <w:br w:type="page"/>
      </w:r>
    </w:p>
    <w:p>
      <w:pPr>
        <w:pStyle w:val="Heading1"/>
        <w:spacing w:after="200" w:before="360"/>
      </w:pPr>
      <w:r>
        <w:rPr>
          <w:rFonts w:ascii="Times New Roman" w:cs="Times New Roman" w:eastAsia="Times New Roman" w:hAnsi="Times New Roman"/>
          <w:b/>
          <w:bCs/>
          <w:color w:val="1F3864"/>
          <w:sz w:val="30"/>
          <w:szCs w:val="30"/>
        </w:rPr>
        <w:t xml:space="preserve">Internship Completion Certificate</w:t>
      </w:r>
    </w:p>
    <w:p>
      <w:pPr>
        <w:spacing w:after="160" w:line="300"/>
        <w:jc w:val="both"/>
      </w:pPr>
      <w:r>
        <w:rPr>
          <w:rFonts w:ascii="Times New Roman" w:cs="Times New Roman" w:eastAsia="Times New Roman" w:hAnsi="Times New Roman"/>
          <w:sz w:val="24"/>
          <w:szCs w:val="24"/>
        </w:rPr>
        <w:t xml:space="preserve">The original internship-completion certificate issued by Codec Technologies Pvt. Ltd., verified through the National Internship Portal and Google for Education, is reproduced below in unaltered form.</w:t>
      </w:r>
    </w:p>
    <w:p>
      <w:pPr>
        <w:spacing w:after="200" w:before="200"/>
        <w:jc w:val="center"/>
      </w:pPr>
      <w:r>
        <w:drawing>
          <wp:inline distT="0" distB="0" distL="0" distR="0">
            <wp:extent cx="542925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390900"/>
                    </a:xfrm>
                    <a:prstGeom prst="rect">
                      <a:avLst/>
                    </a:prstGeom>
                  </pic:spPr>
                </pic:pic>
              </a:graphicData>
            </a:graphic>
          </wp:inline>
        </w:drawing>
      </w:r>
    </w:p>
    <w:p>
      <w:pPr>
        <w:spacing w:after="240" w:before="100"/>
        <w:jc w:val="center"/>
      </w:pPr>
      <w:r>
        <w:rPr>
          <w:rFonts w:ascii="Times New Roman" w:cs="Times New Roman" w:eastAsia="Times New Roman" w:hAnsi="Times New Roman"/>
          <w:i/>
          <w:iCs/>
          <w:color w:val="595959"/>
          <w:sz w:val="22"/>
          <w:szCs w:val="22"/>
        </w:rPr>
        <w:t xml:space="preserve">Figure 0.1: Internship Completion Certificate — Codec Technologies Pvt. Ltd. (28/05/2026 – 29/08/2026)</w:t>
      </w:r>
    </w:p>
    <w:p>
      <w:r>
        <w:br w:type="page"/>
      </w:r>
    </w:p>
    <w:p>
      <w:pPr>
        <w:pStyle w:val="Heading1"/>
        <w:spacing w:after="200" w:before="360"/>
      </w:pPr>
      <w:r>
        <w:rPr>
          <w:rFonts w:ascii="Times New Roman" w:cs="Times New Roman" w:eastAsia="Times New Roman" w:hAnsi="Times New Roman"/>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color w:val="1F3864"/>
          <w:sz w:val="30"/>
          <w:szCs w:val="30"/>
        </w:rPr>
        <w:t xml:space="preserve">Executive Summary</w:t>
      </w:r>
    </w:p>
    <w:p>
      <w:pPr>
        <w:spacing w:after="160" w:line="300"/>
        <w:jc w:val="both"/>
      </w:pPr>
      <w:r>
        <w:rPr>
          <w:rFonts w:ascii="Times New Roman" w:cs="Times New Roman" w:eastAsia="Times New Roman" w:hAnsi="Times New Roman"/>
          <w:sz w:val="24"/>
          <w:szCs w:val="24"/>
        </w:rPr>
        <w:t xml:space="preserve">ApexSupport AI is a full-stack, production-oriented prototype for intelligent customer support that unifies hybrid information retrieval, multi-turn dialogue management, sentiment-aware escalation, and operational analytics within a single service. The platform's core technical contribution, as specified in the supplied project repository, is a hybrid retrieval mechanism that linearly fuses a dense neural retriever (sentence-transformers/all-MiniLM-L6-v2, 384-dimensional embeddings, cosine similarity) with a sparse lexical retriever (NLTK-lemmatized TF-IDF vectors) under a fixed 0.65/0.35 weighting, supplemented by an exact-keyword boost term.</w:t>
      </w:r>
    </w:p>
    <w:p>
      <w:pPr>
        <w:spacing w:after="160" w:line="300"/>
        <w:jc w:val="both"/>
      </w:pPr>
      <w:r>
        <w:rPr>
          <w:rFonts w:ascii="Times New Roman" w:cs="Times New Roman" w:eastAsia="Times New Roman" w:hAnsi="Times New Roman"/>
          <w:sz w:val="24"/>
          <w:szCs w:val="24"/>
        </w:rPr>
        <w:t xml:space="preserve">This report reconstructs the engineering rationale behind that architecture, situates it within the broader literature on hybrid dense–sparse retrieval, and elaborates the request lifecycle, data model, evaluation considerations, and threats to validity that a production deployment of such a system would need to address. Where the supplied materials are silent on a matter — for example, quantitative benchmark results or load-testing figures — this report says so explicitly rather than fabricating figures, consistent with academic integrity requirements.</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60"/>
      </w:pPr>
      <w:r>
        <w:rPr>
          <w:rFonts w:ascii="Times New Roman" w:cs="Times New Roman" w:eastAsia="Times New Roman" w:hAnsi="Times New Roman"/>
          <w:b/>
          <w:bCs/>
          <w:color w:val="1F3864"/>
          <w:sz w:val="30"/>
          <w:szCs w:val="30"/>
        </w:rPr>
        <w:t xml:space="preserve">Chapter 1: Introduction</w:t>
      </w:r>
    </w:p>
    <w:p>
      <w:pPr>
        <w:pStyle w:val="Heading2"/>
        <w:spacing w:after="160" w:before="280"/>
      </w:pPr>
      <w:r>
        <w:rPr>
          <w:rFonts w:ascii="Times New Roman" w:cs="Times New Roman" w:eastAsia="Times New Roman" w:hAnsi="Times New Roman"/>
          <w:b/>
          <w:bCs/>
          <w:color w:val="1F3864"/>
          <w:sz w:val="26"/>
          <w:szCs w:val="26"/>
        </w:rPr>
        <w:t xml:space="preserve">1.1 Background and Motivation</w:t>
      </w:r>
    </w:p>
    <w:p>
      <w:pPr>
        <w:spacing w:after="160" w:line="300"/>
        <w:jc w:val="both"/>
      </w:pPr>
      <w:r>
        <w:rPr>
          <w:rFonts w:ascii="Times New Roman" w:cs="Times New Roman" w:eastAsia="Times New Roman" w:hAnsi="Times New Roman"/>
          <w:sz w:val="24"/>
          <w:szCs w:val="24"/>
        </w:rPr>
        <w:t xml:space="preserve">Conversational customer-support automation has progressed through three broad technical generations: (i) rule-based decision trees and keyword-matched FAQ lookups; (ii) intent-classification chatbots built on supervised text classifiers; and (iii) retrieval- and generation-augmented systems that leverage dense semantic representations. Purely lexical, keyword-driven FAQ engines remain brittle under vocabulary mismatch — a customer asking “How do I get my money back?” will not match an FAQ entry phrased as “Refund policy and eligibility,” despite the two expressing the same underlying intent. This phenomenon, well documented in the information-retrieval literature as the vocabulary mismatch problem, motivates the incorporation of dense, embedding-based semantic retrieval alongside conventional lexical scoring.</w:t>
      </w:r>
    </w:p>
    <w:p>
      <w:pPr>
        <w:spacing w:after="160" w:line="300"/>
        <w:jc w:val="both"/>
      </w:pPr>
      <w:r>
        <w:rPr>
          <w:rFonts w:ascii="Times New Roman" w:cs="Times New Roman" w:eastAsia="Times New Roman" w:hAnsi="Times New Roman"/>
          <w:sz w:val="24"/>
          <w:szCs w:val="24"/>
        </w:rPr>
        <w:t xml:space="preserve">ApexSupport AI is positioned within this third generation. It combines dense semantic retrieval with sparse lexical retrieval in a hybrid ranking function, and augments this retrieval core with conversational state management, structured entity extraction, real-time sentiment analysis, and an auditable escalation workflow — capabilities that collectively distinguish it from a simple question-answering bot and position it closer to an operational support platform.</w:t>
      </w:r>
    </w:p>
    <w:p>
      <w:pPr>
        <w:pStyle w:val="Heading2"/>
        <w:spacing w:after="160" w:before="280"/>
      </w:pPr>
      <w:r>
        <w:rPr>
          <w:rFonts w:ascii="Times New Roman" w:cs="Times New Roman" w:eastAsia="Times New Roman" w:hAnsi="Times New Roman"/>
          <w:b/>
          <w:bCs/>
          <w:color w:val="1F3864"/>
          <w:sz w:val="26"/>
          <w:szCs w:val="26"/>
        </w:rPr>
        <w:t xml:space="preserve">1.2 The Request-to-Response Pipeline</w:t>
      </w:r>
    </w:p>
    <w:p>
      <w:pPr>
        <w:spacing w:after="160" w:line="300"/>
        <w:jc w:val="both"/>
      </w:pPr>
      <w:r>
        <w:rPr>
          <w:rFonts w:ascii="Times New Roman" w:cs="Times New Roman" w:eastAsia="Times New Roman" w:hAnsi="Times New Roman"/>
          <w:sz w:val="24"/>
          <w:szCs w:val="24"/>
        </w:rPr>
        <w:t xml:space="preserve">At a systems level, the application implements a request-to-response pipeline with the following logical stages: (1) a customer submits a message through the web client; (2) the backend resolves or initialises session state; (3) the NLP layer performs tokenisation, part-of-speech tagging, lemmatization, entity extraction, and sentiment scoring; (4) the retrieval layer independently computes dense and sparse similarity scores against the indexed FAQ corpus and fuses them; (5) a response is selected — or, where confidence is insufficient, a ranked list of alternative suggestions is returned; (6) sentiment and dialogue signals are evaluated for escalation; and (7) the complete interaction, including latency and confidence metadata, is persisted for audit and analytics.</w:t>
      </w:r>
    </w:p>
    <w:p>
      <w:pPr>
        <w:pStyle w:val="Heading2"/>
        <w:spacing w:after="160" w:before="280"/>
      </w:pPr>
      <w:r>
        <w:rPr>
          <w:rFonts w:ascii="Times New Roman" w:cs="Times New Roman" w:eastAsia="Times New Roman" w:hAnsi="Times New Roman"/>
          <w:b/>
          <w:bCs/>
          <w:color w:val="1F3864"/>
          <w:sz w:val="26"/>
          <w:szCs w:val="26"/>
        </w:rPr>
        <w:t xml:space="preserve">1.3 Report Organisation</w:t>
      </w:r>
    </w:p>
    <w:p>
      <w:pPr>
        <w:spacing w:after="160" w:line="300"/>
        <w:jc w:val="both"/>
      </w:pPr>
      <w:r>
        <w:rPr>
          <w:rFonts w:ascii="Times New Roman" w:cs="Times New Roman" w:eastAsia="Times New Roman" w:hAnsi="Times New Roman"/>
          <w:sz w:val="24"/>
          <w:szCs w:val="24"/>
        </w:rPr>
        <w:t xml:space="preserve">Chapter 2 profiles the host organisation and the internship engagement. Chapter 3 formalises the problem statement. Chapter 4 states the project's objectives and delimits its scope. Chapter 5 enumerates the technology stack. Chapter 6 presents the system architecture in layered and data-flow form. Chapter 7 details the methodology, including the mathematical formulation of hybrid score fusion. Chapter 8 discusses expected outcomes and evaluation considerations. Chapter 9 critically discusses limitations and threats to validity. Chapter 10 outlines future work. Chapter 11 reproduces the internship completion certificate, and the Bibliography follows in Chapter 12.</w:t>
      </w:r>
    </w:p>
    <w:p>
      <w:r>
        <w:br w:type="page"/>
      </w:r>
    </w:p>
    <w:p>
      <w:pPr>
        <w:pStyle w:val="Heading1"/>
        <w:spacing w:after="200" w:before="360"/>
      </w:pPr>
      <w:r>
        <w:rPr>
          <w:rFonts w:ascii="Times New Roman" w:cs="Times New Roman" w:eastAsia="Times New Roman" w:hAnsi="Times New Roman"/>
          <w:b/>
          <w:bCs/>
          <w:color w:val="1F3864"/>
          <w:sz w:val="30"/>
          <w:szCs w:val="30"/>
        </w:rPr>
        <w:t xml:space="preserve">Chapter 2: Organisation Profile</w:t>
      </w:r>
    </w:p>
    <w:p>
      <w:pPr>
        <w:spacing w:after="160" w:line="300"/>
        <w:jc w:val="both"/>
      </w:pPr>
      <w:r>
        <w:rPr>
          <w:rFonts w:ascii="Times New Roman" w:cs="Times New Roman" w:eastAsia="Times New Roman" w:hAnsi="Times New Roman"/>
          <w:sz w:val="24"/>
          <w:szCs w:val="24"/>
        </w:rPr>
        <w:t xml:space="preserve">The internship-completion certificate supplied for this report identifies the host organisation as Codec Technologies Pvt. Ltd. The certificate records a three-month internship programme, approved under AICTE and ICAC guidelines, conducted from 28 May 2026 to 29 August 2026, undertaken in the role of Artificial Intelligence Intern. The certificate bears the identifier AICTE ID – CORPORATE6759d549ce59e1733940553, is countersigned by Dr. Anurag Shrivastava, Program Manager, and carries verification markers from the National Internship Portal and the Google for Education partner programme.</w:t>
      </w:r>
    </w:p>
    <w:p>
      <w:pPr>
        <w:spacing w:after="160" w:line="300"/>
        <w:jc w:val="both"/>
      </w:pPr>
      <w:r>
        <w:rPr>
          <w:rFonts w:ascii="Times New Roman" w:cs="Times New Roman" w:eastAsia="Times New Roman" w:hAnsi="Times New Roman"/>
          <w:sz w:val="24"/>
          <w:szCs w:val="24"/>
        </w:rPr>
        <w:t xml:space="preserve">No further organisational history, business-domain details, or client information were supplied in the source materials made available for this report; consistent with academic-integrity requirements, no such details have been invented. The certificate itself is reproduced in full in Chapter 11 for independent verification.</w:t>
      </w:r>
    </w:p>
    <w:p>
      <w:r>
        <w:br w:type="page"/>
      </w:r>
    </w:p>
    <w:p>
      <w:pPr>
        <w:pStyle w:val="Heading1"/>
        <w:spacing w:after="200" w:before="360"/>
      </w:pPr>
      <w:r>
        <w:rPr>
          <w:rFonts w:ascii="Times New Roman" w:cs="Times New Roman" w:eastAsia="Times New Roman" w:hAnsi="Times New Roman"/>
          <w:b/>
          <w:bCs/>
          <w:color w:val="1F3864"/>
          <w:sz w:val="30"/>
          <w:szCs w:val="30"/>
        </w:rPr>
        <w:t xml:space="preserve">Chapter 3: Problem Statement</w:t>
      </w:r>
    </w:p>
    <w:p>
      <w:pPr>
        <w:spacing w:after="160" w:line="300"/>
        <w:jc w:val="both"/>
      </w:pPr>
      <w:r>
        <w:rPr>
          <w:rFonts w:ascii="Times New Roman" w:cs="Times New Roman" w:eastAsia="Times New Roman" w:hAnsi="Times New Roman"/>
          <w:sz w:val="24"/>
          <w:szCs w:val="24"/>
        </w:rPr>
        <w:t xml:space="preserve">Conventional FAQ and customer-support systems are typically constructed around exact-keyword search or manually curated category trees. Such designs exhibit three recurring failure modes: first, they generalise poorly to paraphrased or colloquial phrasing, since lexical overlap is a poor proxy for semantic intent; second, they are stateless, and therefore cannot resolve references across turns in a multi-step interaction (for example, a customer providing an order number only after being prompted); and third, they typically provide support teams with little structured visibility into query patterns, unresolved issues, or customer sentiment trends, since interactions are not consistently logged in an analysable form.</w:t>
      </w:r>
    </w:p>
    <w:p>
      <w:pPr>
        <w:spacing w:after="160" w:line="300"/>
        <w:jc w:val="both"/>
      </w:pPr>
      <w:r>
        <w:rPr>
          <w:rFonts w:ascii="Times New Roman" w:cs="Times New Roman" w:eastAsia="Times New Roman" w:hAnsi="Times New Roman"/>
          <w:sz w:val="24"/>
          <w:szCs w:val="24"/>
        </w:rPr>
        <w:t xml:space="preserve">The problem addressed by this project may therefore be stated formally as follows: design and implement a support platform capable of (a) robustly matching customer queries to relevant knowledge-base entries under lexical variation, (b) preserving and exploiting conversational context across multiple turns, (c) identifying customer sentiment in real time so that dissatisfied or unresolved interactions can be escalated appropriately, and (d) maintaining a persistent, queryable audit trail of all interactions to support downstream analytics.</w:t>
      </w:r>
    </w:p>
    <w:p>
      <w:r>
        <w:br w:type="page"/>
      </w:r>
    </w:p>
    <w:p>
      <w:pPr>
        <w:pStyle w:val="Heading1"/>
        <w:spacing w:after="200" w:before="360"/>
      </w:pPr>
      <w:r>
        <w:rPr>
          <w:rFonts w:ascii="Times New Roman" w:cs="Times New Roman" w:eastAsia="Times New Roman" w:hAnsi="Times New Roman"/>
          <w:b/>
          <w:bCs/>
          <w:color w:val="1F3864"/>
          <w:sz w:val="30"/>
          <w:szCs w:val="30"/>
        </w:rPr>
        <w:t xml:space="preserve">Chapter 4: Project Objectives and Scope</w:t>
      </w:r>
    </w:p>
    <w:p>
      <w:pPr>
        <w:pStyle w:val="Heading2"/>
        <w:spacing w:after="160" w:before="280"/>
      </w:pPr>
      <w:r>
        <w:rPr>
          <w:rFonts w:ascii="Times New Roman" w:cs="Times New Roman" w:eastAsia="Times New Roman" w:hAnsi="Times New Roman"/>
          <w:b/>
          <w:bCs/>
          <w:color w:val="1F3864"/>
          <w:sz w:val="26"/>
          <w:szCs w:val="26"/>
        </w:rPr>
        <w:t xml:space="preserve">4.1 Objectives</w:t>
      </w:r>
    </w:p>
    <w:p>
      <w:pPr>
        <w:pStyle w:val="ListParagraph"/>
        <w:numPr>
          <w:ilvl w:val="0"/>
          <w:numId w:val="2"/>
        </w:numPr>
        <w:spacing w:after="90" w:line="290"/>
      </w:pPr>
      <w:r>
        <w:rPr>
          <w:rFonts w:ascii="Times New Roman" w:cs="Times New Roman" w:eastAsia="Times New Roman" w:hAnsi="Times New Roman"/>
          <w:sz w:val="24"/>
          <w:szCs w:val="24"/>
        </w:rPr>
        <w:t xml:space="preserve">Design and implement a stateful, multi-turn customer-support chatbot capable of maintaining conversational context across a session.</w:t>
      </w:r>
    </w:p>
    <w:p>
      <w:pPr>
        <w:pStyle w:val="ListParagraph"/>
        <w:numPr>
          <w:ilvl w:val="0"/>
          <w:numId w:val="2"/>
        </w:numPr>
        <w:spacing w:after="90" w:line="290"/>
      </w:pPr>
      <w:r>
        <w:rPr>
          <w:rFonts w:ascii="Times New Roman" w:cs="Times New Roman" w:eastAsia="Times New Roman" w:hAnsi="Times New Roman"/>
          <w:sz w:val="24"/>
          <w:szCs w:val="24"/>
        </w:rPr>
        <w:t xml:space="preserve">Extract structured entities and parameters relevant to support workflows — including order identifiers, email addresses, and return-reason categories — using pattern-based and NLP-assisted techniques.</w:t>
      </w:r>
    </w:p>
    <w:p>
      <w:pPr>
        <w:pStyle w:val="ListParagraph"/>
        <w:numPr>
          <w:ilvl w:val="0"/>
          <w:numId w:val="2"/>
        </w:numPr>
        <w:spacing w:after="90" w:line="290"/>
      </w:pPr>
      <w:r>
        <w:rPr>
          <w:rFonts w:ascii="Times New Roman" w:cs="Times New Roman" w:eastAsia="Times New Roman" w:hAnsi="Times New Roman"/>
          <w:sz w:val="24"/>
          <w:szCs w:val="24"/>
        </w:rPr>
        <w:t xml:space="preserve">Design a hybrid retrieval mechanism that fuses dense semantic similarity with sparse lexical similarity to improve FAQ-matching robustness under vocabulary variation.</w:t>
      </w:r>
    </w:p>
    <w:p>
      <w:pPr>
        <w:pStyle w:val="ListParagraph"/>
        <w:numPr>
          <w:ilvl w:val="0"/>
          <w:numId w:val="2"/>
        </w:numPr>
        <w:spacing w:after="90" w:line="290"/>
      </w:pPr>
      <w:r>
        <w:rPr>
          <w:rFonts w:ascii="Times New Roman" w:cs="Times New Roman" w:eastAsia="Times New Roman" w:hAnsi="Times New Roman"/>
          <w:sz w:val="24"/>
          <w:szCs w:val="24"/>
        </w:rPr>
        <w:t xml:space="preserve">Apply real-time sentiment analysis to identify negative or frustrated interactions and trigger appropriate escalation workflows.</w:t>
      </w:r>
    </w:p>
    <w:p>
      <w:pPr>
        <w:pStyle w:val="ListParagraph"/>
        <w:numPr>
          <w:ilvl w:val="0"/>
          <w:numId w:val="2"/>
        </w:numPr>
        <w:spacing w:after="90" w:line="290"/>
      </w:pPr>
      <w:r>
        <w:rPr>
          <w:rFonts w:ascii="Times New Roman" w:cs="Times New Roman" w:eastAsia="Times New Roman" w:hAnsi="Times New Roman"/>
          <w:sz w:val="24"/>
          <w:szCs w:val="24"/>
        </w:rPr>
        <w:t xml:space="preserve">Provide ranked alternative suggestions when the top-ranked FAQ match falls below a confidence threshold.</w:t>
      </w:r>
    </w:p>
    <w:p>
      <w:pPr>
        <w:pStyle w:val="ListParagraph"/>
        <w:numPr>
          <w:ilvl w:val="0"/>
          <w:numId w:val="2"/>
        </w:numPr>
        <w:spacing w:after="90" w:line="290"/>
      </w:pPr>
      <w:r>
        <w:rPr>
          <w:rFonts w:ascii="Times New Roman" w:cs="Times New Roman" w:eastAsia="Times New Roman" w:hAnsi="Times New Roman"/>
          <w:sz w:val="24"/>
          <w:szCs w:val="24"/>
        </w:rPr>
        <w:t xml:space="preserve">Maintain persistent, relational records of conversations, messages, feedback, tickets, and interaction logs using SQLite.</w:t>
      </w:r>
    </w:p>
    <w:p>
      <w:pPr>
        <w:pStyle w:val="ListParagraph"/>
        <w:numPr>
          <w:ilvl w:val="0"/>
          <w:numId w:val="2"/>
        </w:numPr>
        <w:spacing w:after="90" w:line="290"/>
      </w:pPr>
      <w:r>
        <w:rPr>
          <w:rFonts w:ascii="Times New Roman" w:cs="Times New Roman" w:eastAsia="Times New Roman" w:hAnsi="Times New Roman"/>
          <w:sz w:val="24"/>
          <w:szCs w:val="24"/>
        </w:rPr>
        <w:t xml:space="preserve">Provide an administrator dashboard exposing key performance indicators, searchable logs, FAQ-management tooling, ticket queues, and CSV export.</w:t>
      </w:r>
    </w:p>
    <w:p>
      <w:pPr>
        <w:pStyle w:val="ListParagraph"/>
        <w:numPr>
          <w:ilvl w:val="0"/>
          <w:numId w:val="2"/>
        </w:numPr>
        <w:spacing w:after="90" w:line="290"/>
      </w:pPr>
      <w:r>
        <w:rPr>
          <w:rFonts w:ascii="Times New Roman" w:cs="Times New Roman" w:eastAsia="Times New Roman" w:hAnsi="Times New Roman"/>
          <w:sz w:val="24"/>
          <w:szCs w:val="24"/>
        </w:rPr>
        <w:t xml:space="preserve">Provide an NLP diagnostic playground exposing tokenisation, lemmatization, sentiment, intent, and semantic-similarity outputs for inspection.</w:t>
      </w:r>
    </w:p>
    <w:p>
      <w:pPr>
        <w:pStyle w:val="ListParagraph"/>
        <w:numPr>
          <w:ilvl w:val="0"/>
          <w:numId w:val="2"/>
        </w:numPr>
        <w:spacing w:after="90" w:line="290"/>
      </w:pPr>
      <w:r>
        <w:rPr>
          <w:rFonts w:ascii="Times New Roman" w:cs="Times New Roman" w:eastAsia="Times New Roman" w:hAnsi="Times New Roman"/>
          <w:sz w:val="24"/>
          <w:szCs w:val="24"/>
        </w:rPr>
        <w:t xml:space="preserve">Expose the application's core functionality through a documented REST API implemented in FastAPI.</w:t>
      </w:r>
    </w:p>
    <w:p>
      <w:pPr>
        <w:pStyle w:val="ListParagraph"/>
        <w:numPr>
          <w:ilvl w:val="0"/>
          <w:numId w:val="2"/>
        </w:numPr>
        <w:spacing w:after="90" w:line="290"/>
      </w:pPr>
      <w:r>
        <w:rPr>
          <w:rFonts w:ascii="Times New Roman" w:cs="Times New Roman" w:eastAsia="Times New Roman" w:hAnsi="Times New Roman"/>
          <w:sz w:val="24"/>
          <w:szCs w:val="24"/>
        </w:rPr>
        <w:t xml:space="preserve">Establish automated regression testing using Pytest and the FastAPI TestClient.</w:t>
      </w:r>
    </w:p>
    <w:p>
      <w:pPr>
        <w:pStyle w:val="Heading2"/>
        <w:spacing w:after="160" w:before="280"/>
      </w:pPr>
      <w:r>
        <w:rPr>
          <w:rFonts w:ascii="Times New Roman" w:cs="Times New Roman" w:eastAsia="Times New Roman" w:hAnsi="Times New Roman"/>
          <w:b/>
          <w:bCs/>
          <w:color w:val="1F3864"/>
          <w:sz w:val="26"/>
          <w:szCs w:val="26"/>
        </w:rPr>
        <w:t xml:space="preserve">4.2 Scope</w:t>
      </w:r>
    </w:p>
    <w:p>
      <w:pPr>
        <w:spacing w:after="160" w:line="300"/>
        <w:jc w:val="both"/>
      </w:pPr>
      <w:r>
        <w:rPr>
          <w:rFonts w:ascii="Times New Roman" w:cs="Times New Roman" w:eastAsia="Times New Roman" w:hAnsi="Times New Roman"/>
          <w:sz w:val="24"/>
          <w:szCs w:val="24"/>
        </w:rPr>
        <w:t xml:space="preserve">The scope of the delivered prototype spans the complete interaction lifecycle: message submission, contextual dialogue management, hybrid FAQ retrieval, sentiment-based escalation, feedback capture, ticket management, and persistent audit logging, together with the administrative and diagnostic tooling described above.</w:t>
      </w:r>
    </w:p>
    <w:p>
      <w:pPr>
        <w:spacing w:after="160" w:line="300"/>
        <w:jc w:val="both"/>
      </w:pPr>
      <w:r>
        <w:rPr>
          <w:rFonts w:ascii="Times New Roman" w:cs="Times New Roman" w:eastAsia="Times New Roman" w:hAnsi="Times New Roman"/>
          <w:sz w:val="24"/>
          <w:szCs w:val="24"/>
        </w:rPr>
        <w:t xml:space="preserve">Consistent with the project description supplied, the following are explicitly excluded from scope and are not claimed as delivered capabilities: production-grade deployment infrastructure (e.g., container orchestration, autoscaling, or CDN-fronted delivery), integration with a live enterprise CRM, integration with third-party courier or logistics tracking systems, and integration with payment-processing systems. These exclusions are noted here to preclude any implication of unverified functionality.</w:t>
      </w:r>
    </w:p>
    <w:p>
      <w:r>
        <w:br w:type="page"/>
      </w:r>
    </w:p>
    <w:p>
      <w:pPr>
        <w:pStyle w:val="Heading1"/>
        <w:spacing w:after="200" w:before="360"/>
      </w:pPr>
      <w:r>
        <w:rPr>
          <w:rFonts w:ascii="Times New Roman" w:cs="Times New Roman" w:eastAsia="Times New Roman" w:hAnsi="Times New Roman"/>
          <w:b/>
          <w:bCs/>
          <w:color w:val="1F3864"/>
          <w:sz w:val="30"/>
          <w:szCs w:val="30"/>
        </w:rPr>
        <w:t xml:space="preserve">Chapter 5: Technologies and Tools</w:t>
      </w:r>
    </w:p>
    <w:p>
      <w:pPr>
        <w:spacing w:after="160" w:line="300"/>
        <w:jc w:val="both"/>
      </w:pPr>
      <w:r>
        <w:rPr>
          <w:rFonts w:ascii="Times New Roman" w:cs="Times New Roman" w:eastAsia="Times New Roman" w:hAnsi="Times New Roman"/>
          <w:sz w:val="24"/>
          <w:szCs w:val="24"/>
        </w:rPr>
        <w:t xml:space="preserve">The implementation stack was selected to balance rapid development with the specific computational requirements of hybrid retrieval and real-time NLP inference. Table 5.1 enumerates the constituent technologies and their functional role within the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000"/>
      </w:tblGrid>
      <w:tr>
        <w:trPr>
          <w:tblHeader/>
        </w:trPr>
        <w:tc>
          <w:tcPr>
            <w:tcW w:type="dxa" w:w="2200"/>
            <w:shd w:fill="1F3864"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2"/>
                <w:szCs w:val="22"/>
              </w:rPr>
              <w:t xml:space="preserve">Layer</w:t>
            </w:r>
          </w:p>
        </w:tc>
        <w:tc>
          <w:tcPr>
            <w:tcW w:type="dxa" w:w="3300"/>
            <w:shd w:fill="1F3864"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2"/>
                <w:szCs w:val="22"/>
              </w:rPr>
              <w:t xml:space="preserve">Technology / Tool</w:t>
            </w:r>
          </w:p>
        </w:tc>
        <w:tc>
          <w:tcPr>
            <w:tcW w:type="dxa" w:w="4000"/>
            <w:shd w:fill="1F3864"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2"/>
                <w:szCs w:val="22"/>
              </w:rPr>
              <w:t xml:space="preserve">Role in the System</w:t>
            </w:r>
          </w:p>
        </w:tc>
      </w:tr>
      <w:tr>
        <w:trPr>
          <w:tblHeader w:val="false"/>
        </w:trPr>
        <w:tc>
          <w:tcPr>
            <w:tcW w:type="dxa" w:w="2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Language runtime</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Python 3.10+</w:t>
            </w:r>
          </w:p>
        </w:tc>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Core implementation language for backend services and NLP pipeline</w:t>
            </w:r>
          </w:p>
        </w:tc>
      </w:tr>
      <w:tr>
        <w:trPr>
          <w:tblHeader w:val="false"/>
        </w:trPr>
        <w:tc>
          <w:tcPr>
            <w:tcW w:type="dxa" w:w="22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NLP toolkit</w:t>
            </w:r>
          </w:p>
        </w:tc>
        <w:tc>
          <w:tcPr>
            <w:tcW w:type="dxa" w:w="33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NLTK</w:t>
            </w:r>
          </w:p>
        </w:tc>
        <w:tc>
          <w:tcPr>
            <w:tcW w:type="dxa" w:w="40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Tokenisation, part-of-speech tagging, lemmatization, and VADER sentiment scoring</w:t>
            </w:r>
          </w:p>
        </w:tc>
      </w:tr>
      <w:tr>
        <w:trPr>
          <w:tblHeader w:val="false"/>
        </w:trPr>
        <w:tc>
          <w:tcPr>
            <w:tcW w:type="dxa" w:w="2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Dense retrieval</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Sentence-Transformers (all-MiniLM-L6-v2)</w:t>
            </w:r>
          </w:p>
        </w:tc>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Generates 384-dimensional sentence embeddings for semantic similarity</w:t>
            </w:r>
          </w:p>
        </w:tc>
      </w:tr>
      <w:tr>
        <w:trPr>
          <w:tblHeader w:val="false"/>
        </w:trPr>
        <w:tc>
          <w:tcPr>
            <w:tcW w:type="dxa" w:w="22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Sparse retrieval</w:t>
            </w:r>
          </w:p>
        </w:tc>
        <w:tc>
          <w:tcPr>
            <w:tcW w:type="dxa" w:w="33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Scikit-learn (TF–IDF)</w:t>
            </w:r>
          </w:p>
        </w:tc>
        <w:tc>
          <w:tcPr>
            <w:tcW w:type="dxa" w:w="40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Vectorises lemmatized text and computes cosine similarity for lexical matching</w:t>
            </w:r>
          </w:p>
        </w:tc>
      </w:tr>
      <w:tr>
        <w:trPr>
          <w:tblHeader w:val="false"/>
        </w:trPr>
        <w:tc>
          <w:tcPr>
            <w:tcW w:type="dxa" w:w="2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API framework</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FastAPI</w:t>
            </w:r>
          </w:p>
        </w:tc>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Asynchronous REST API layer, request validation, and routing</w:t>
            </w:r>
          </w:p>
        </w:tc>
      </w:tr>
      <w:tr>
        <w:trPr>
          <w:tblHeader w:val="false"/>
        </w:trPr>
        <w:tc>
          <w:tcPr>
            <w:tcW w:type="dxa" w:w="22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ASGI server</w:t>
            </w:r>
          </w:p>
        </w:tc>
        <w:tc>
          <w:tcPr>
            <w:tcW w:type="dxa" w:w="33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Uvicorn</w:t>
            </w:r>
          </w:p>
        </w:tc>
        <w:tc>
          <w:tcPr>
            <w:tcW w:type="dxa" w:w="40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Serves the FastAPI application</w:t>
            </w:r>
          </w:p>
        </w:tc>
      </w:tr>
      <w:tr>
        <w:trPr>
          <w:tblHeader w:val="false"/>
        </w:trPr>
        <w:tc>
          <w:tcPr>
            <w:tcW w:type="dxa" w:w="2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Templating</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Jinja2</w:t>
            </w:r>
          </w:p>
        </w:tc>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Server-rendered HTML templating</w:t>
            </w:r>
          </w:p>
        </w:tc>
      </w:tr>
      <w:tr>
        <w:trPr>
          <w:tblHeader w:val="false"/>
        </w:trPr>
        <w:tc>
          <w:tcPr>
            <w:tcW w:type="dxa" w:w="22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Data validation</w:t>
            </w:r>
          </w:p>
        </w:tc>
        <w:tc>
          <w:tcPr>
            <w:tcW w:type="dxa" w:w="33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Pydantic</w:t>
            </w:r>
          </w:p>
        </w:tc>
        <w:tc>
          <w:tcPr>
            <w:tcW w:type="dxa" w:w="40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Schema definition and request/response validation</w:t>
            </w:r>
          </w:p>
        </w:tc>
      </w:tr>
      <w:tr>
        <w:trPr>
          <w:tblHeader w:val="false"/>
        </w:trPr>
        <w:tc>
          <w:tcPr>
            <w:tcW w:type="dxa" w:w="2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Form handling</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python-multipart</w:t>
            </w:r>
          </w:p>
        </w:tc>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Multipart/form-data parsing</w:t>
            </w:r>
          </w:p>
        </w:tc>
      </w:tr>
      <w:tr>
        <w:trPr>
          <w:tblHeader w:val="false"/>
        </w:trPr>
        <w:tc>
          <w:tcPr>
            <w:tcW w:type="dxa" w:w="22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Persistence</w:t>
            </w:r>
          </w:p>
        </w:tc>
        <w:tc>
          <w:tcPr>
            <w:tcW w:type="dxa" w:w="33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SQLite3</w:t>
            </w:r>
          </w:p>
        </w:tc>
        <w:tc>
          <w:tcPr>
            <w:tcW w:type="dxa" w:w="40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Relational storage for conversations, FAQs, logs, feedback, and tickets</w:t>
            </w:r>
          </w:p>
        </w:tc>
      </w:tr>
      <w:tr>
        <w:trPr>
          <w:tblHeader w:val="false"/>
        </w:trPr>
        <w:tc>
          <w:tcPr>
            <w:tcW w:type="dxa" w:w="2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Front end</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HTML5 / CSS3</w:t>
            </w:r>
          </w:p>
        </w:tc>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Responsive single-page customer and admin interfaces</w:t>
            </w:r>
          </w:p>
        </w:tc>
      </w:tr>
      <w:tr>
        <w:trPr>
          <w:tblHeader w:val="false"/>
        </w:trPr>
        <w:tc>
          <w:tcPr>
            <w:tcW w:type="dxa" w:w="22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UI iconography</w:t>
            </w:r>
          </w:p>
        </w:tc>
        <w:tc>
          <w:tcPr>
            <w:tcW w:type="dxa" w:w="33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Font Awesome 6</w:t>
            </w:r>
          </w:p>
        </w:tc>
        <w:tc>
          <w:tcPr>
            <w:tcW w:type="dxa" w:w="40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Interface iconography</w:t>
            </w:r>
          </w:p>
        </w:tc>
      </w:tr>
      <w:tr>
        <w:trPr>
          <w:tblHeader w:val="false"/>
        </w:trPr>
        <w:tc>
          <w:tcPr>
            <w:tcW w:type="dxa" w:w="2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Rendering</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Marked.js</w:t>
            </w:r>
          </w:p>
        </w:tc>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Client-side Markdown rendering of bot responses</w:t>
            </w:r>
          </w:p>
        </w:tc>
      </w:tr>
      <w:tr>
        <w:trPr>
          <w:tblHeader w:val="false"/>
        </w:trPr>
        <w:tc>
          <w:tcPr>
            <w:tcW w:type="dxa" w:w="22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Voice I/O</w:t>
            </w:r>
          </w:p>
        </w:tc>
        <w:tc>
          <w:tcPr>
            <w:tcW w:type="dxa" w:w="33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Web Speech API</w:t>
            </w:r>
          </w:p>
        </w:tc>
        <w:tc>
          <w:tcPr>
            <w:tcW w:type="dxa" w:w="40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Browser-native speech-to-text and text-to-speech</w:t>
            </w:r>
          </w:p>
        </w:tc>
      </w:tr>
      <w:tr>
        <w:trPr>
          <w:tblHeader w:val="false"/>
        </w:trPr>
        <w:tc>
          <w:tcPr>
            <w:tcW w:type="dxa" w:w="22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Testing</w:t>
            </w:r>
          </w:p>
        </w:tc>
        <w:tc>
          <w:tcPr>
            <w:tcW w:type="dxa" w:w="33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Pytest / FastAPI TestClient</w:t>
            </w:r>
          </w:p>
        </w:tc>
        <w:tc>
          <w:tcPr>
            <w:tcW w:type="dxa" w:w="4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Automated unit and integration testing</w:t>
            </w:r>
          </w:p>
        </w:tc>
      </w:tr>
    </w:tbl>
    <w:p>
      <w:pPr>
        <w:spacing w:after="240" w:before="100"/>
        <w:jc w:val="center"/>
      </w:pPr>
      <w:r>
        <w:rPr>
          <w:rFonts w:ascii="Times New Roman" w:cs="Times New Roman" w:eastAsia="Times New Roman" w:hAnsi="Times New Roman"/>
          <w:i/>
          <w:iCs/>
          <w:color w:val="595959"/>
          <w:sz w:val="22"/>
          <w:szCs w:val="22"/>
        </w:rPr>
        <w:t xml:space="preserve">Table 5.1: Technology stack and functional roles</w:t>
      </w:r>
    </w:p>
    <w:p>
      <w:r>
        <w:br w:type="page"/>
      </w:r>
    </w:p>
    <w:p>
      <w:pPr>
        <w:pStyle w:val="Heading1"/>
        <w:spacing w:after="200" w:before="360"/>
      </w:pPr>
      <w:r>
        <w:rPr>
          <w:rFonts w:ascii="Times New Roman" w:cs="Times New Roman" w:eastAsia="Times New Roman" w:hAnsi="Times New Roman"/>
          <w:b/>
          <w:bCs/>
          <w:color w:val="1F3864"/>
          <w:sz w:val="30"/>
          <w:szCs w:val="30"/>
        </w:rPr>
        <w:t xml:space="preserve">Chapter 6: System Architecture</w:t>
      </w:r>
    </w:p>
    <w:p>
      <w:pPr>
        <w:spacing w:after="160" w:line="300"/>
        <w:jc w:val="both"/>
      </w:pPr>
      <w:r>
        <w:rPr>
          <w:rFonts w:ascii="Times New Roman" w:cs="Times New Roman" w:eastAsia="Times New Roman" w:hAnsi="Times New Roman"/>
          <w:sz w:val="24"/>
          <w:szCs w:val="24"/>
        </w:rPr>
        <w:t xml:space="preserve">The system follows a layered architecture in which a browser-based client communicates with a FastAPI backend over a REST interface. The backend coordinates seven logical layers, each with a distinct responsibility, described in Table 6.1.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1F3864"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2"/>
                <w:szCs w:val="22"/>
              </w:rPr>
              <w:t xml:space="preserve">Layer</w:t>
            </w:r>
          </w:p>
        </w:tc>
        <w:tc>
          <w:tcPr>
            <w:tcW w:type="dxa" w:w="7000"/>
            <w:shd w:fill="1F3864" w:val="clear"/>
            <w:tcMar>
              <w:top w:type="dxa" w:w="100"/>
              <w:left w:type="dxa" w:w="120"/>
              <w:bottom w:type="dxa" w:w="100"/>
              <w:right w:type="dxa" w:w="120"/>
            </w:tcMar>
            <w:vAlign w:val="center"/>
          </w:tcPr>
          <w:p>
            <w:pPr>
              <w:jc w:val="left"/>
            </w:pPr>
            <w:r>
              <w:rPr>
                <w:rFonts w:ascii="Times New Roman" w:cs="Times New Roman" w:eastAsia="Times New Roman" w:hAnsi="Times New Roman"/>
                <w:b/>
                <w:bCs/>
                <w:color w:val="FFFFFF"/>
                <w:sz w:val="22"/>
                <w:szCs w:val="22"/>
              </w:rPr>
              <w:t xml:space="preserve">Responsibility</w:t>
            </w:r>
          </w:p>
        </w:tc>
      </w:tr>
      <w:tr>
        <w:trPr>
          <w:tblHeader w:val="false"/>
        </w:trPr>
        <w:tc>
          <w:tcPr>
            <w:tcW w:type="dxa" w:w="25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Presentation</w:t>
            </w:r>
          </w:p>
        </w:tc>
        <w:tc>
          <w:tcPr>
            <w:tcW w:type="dxa" w:w="7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Customer chat UI, administrator &amp; analytics portal, and NLP playground</w:t>
            </w:r>
          </w:p>
        </w:tc>
      </w:tr>
      <w:tr>
        <w:trPr>
          <w:tblHeader w:val="false"/>
        </w:trPr>
        <w:tc>
          <w:tcPr>
            <w:tcW w:type="dxa" w:w="25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API</w:t>
            </w:r>
          </w:p>
        </w:tc>
        <w:tc>
          <w:tcPr>
            <w:tcW w:type="dxa" w:w="70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FastAPI REST endpoints: request validation, routing, and response serialisation</w:t>
            </w:r>
          </w:p>
        </w:tc>
      </w:tr>
      <w:tr>
        <w:trPr>
          <w:tblHeader w:val="false"/>
        </w:trPr>
        <w:tc>
          <w:tcPr>
            <w:tcW w:type="dxa" w:w="25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Conversation</w:t>
            </w:r>
          </w:p>
        </w:tc>
        <w:tc>
          <w:tcPr>
            <w:tcW w:type="dxa" w:w="7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Session-state management, slot filling, and multi-turn dialogue history</w:t>
            </w:r>
          </w:p>
        </w:tc>
      </w:tr>
      <w:tr>
        <w:trPr>
          <w:tblHeader w:val="false"/>
        </w:trPr>
        <w:tc>
          <w:tcPr>
            <w:tcW w:type="dxa" w:w="25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NLP</w:t>
            </w:r>
          </w:p>
        </w:tc>
        <w:tc>
          <w:tcPr>
            <w:tcW w:type="dxa" w:w="70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Tokenisation, lemmatization, entity extraction, and VADER sentiment scoring (NLTK)</w:t>
            </w:r>
          </w:p>
        </w:tc>
      </w:tr>
      <w:tr>
        <w:trPr>
          <w:tblHeader w:val="false"/>
        </w:trPr>
        <w:tc>
          <w:tcPr>
            <w:tcW w:type="dxa" w:w="25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Retrieval</w:t>
            </w:r>
          </w:p>
        </w:tc>
        <w:tc>
          <w:tcPr>
            <w:tcW w:type="dxa" w:w="7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Dense (Sentence-Transformers) and sparse (TF–IDF) similarity scoring and fusion</w:t>
            </w:r>
          </w:p>
        </w:tc>
      </w:tr>
      <w:tr>
        <w:trPr>
          <w:tblHeader w:val="false"/>
        </w:trPr>
        <w:tc>
          <w:tcPr>
            <w:tcW w:type="dxa" w:w="25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Escalation</w:t>
            </w:r>
          </w:p>
        </w:tc>
        <w:tc>
          <w:tcPr>
            <w:tcW w:type="dxa" w:w="7000"/>
            <w:shd w:fill="EDEFF4"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Frustration and unresolved-issue detection; automated ticket creation</w:t>
            </w:r>
          </w:p>
        </w:tc>
      </w:tr>
      <w:tr>
        <w:trPr>
          <w:tblHeader w:val="false"/>
        </w:trPr>
        <w:tc>
          <w:tcPr>
            <w:tcW w:type="dxa" w:w="25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Persistence</w:t>
            </w:r>
          </w:p>
        </w:tc>
        <w:tc>
          <w:tcPr>
            <w:tcW w:type="dxa" w:w="7000"/>
            <w:shd w:fill="FFFFFF" w:val="clear"/>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color w:val="000000"/>
                <w:sz w:val="22"/>
                <w:szCs w:val="22"/>
              </w:rPr>
              <w:t xml:space="preserve">SQLite storage of conversations, messages, FAQs, logs, feedback, and tickets</w:t>
            </w:r>
          </w:p>
        </w:tc>
      </w:tr>
    </w:tbl>
    <w:p>
      <w:pPr>
        <w:spacing w:after="240" w:before="100"/>
        <w:jc w:val="center"/>
      </w:pPr>
      <w:r>
        <w:rPr>
          <w:rFonts w:ascii="Times New Roman" w:cs="Times New Roman" w:eastAsia="Times New Roman" w:hAnsi="Times New Roman"/>
          <w:i/>
          <w:iCs/>
          <w:color w:val="595959"/>
          <w:sz w:val="22"/>
          <w:szCs w:val="22"/>
        </w:rPr>
        <w:t xml:space="preserve">Table 6.1: Layered architecture and responsibilities</w:t>
      </w:r>
    </w:p>
    <w:p>
      <w:pPr>
        <w:pStyle w:val="Heading2"/>
        <w:spacing w:after="160" w:before="280"/>
      </w:pPr>
      <w:r>
        <w:rPr>
          <w:rFonts w:ascii="Times New Roman" w:cs="Times New Roman" w:eastAsia="Times New Roman" w:hAnsi="Times New Roman"/>
          <w:b/>
          <w:bCs/>
          <w:color w:val="1F3864"/>
          <w:sz w:val="26"/>
          <w:szCs w:val="26"/>
        </w:rPr>
        <w:t xml:space="preserve">6.1 Logical Data Flow</w:t>
      </w:r>
    </w:p>
    <w:p>
      <w:pPr>
        <w:spacing w:after="160" w:line="300"/>
        <w:jc w:val="both"/>
      </w:pPr>
      <w:r>
        <w:rPr>
          <w:rFonts w:ascii="Times New Roman" w:cs="Times New Roman" w:eastAsia="Times New Roman" w:hAnsi="Times New Roman"/>
          <w:sz w:val="24"/>
          <w:szCs w:val="24"/>
        </w:rPr>
        <w:t xml:space="preserve">The end-to-end data flow through the system can be expressed as an ordered pipeline:</w:t>
      </w:r>
    </w:p>
    <w:p>
      <w:pPr>
        <w:pStyle w:val="ListParagraph"/>
        <w:numPr>
          <w:ilvl w:val="0"/>
          <w:numId w:val="3"/>
        </w:numPr>
        <w:spacing w:after="90" w:line="290"/>
      </w:pPr>
      <w:r>
        <w:rPr>
          <w:rFonts w:ascii="Times New Roman" w:cs="Times New Roman" w:eastAsia="Times New Roman" w:hAnsi="Times New Roman"/>
          <w:sz w:val="24"/>
          <w:szCs w:val="24"/>
        </w:rPr>
        <w:t xml:space="preserve">User Query</w:t>
      </w:r>
    </w:p>
    <w:p>
      <w:pPr>
        <w:pStyle w:val="ListParagraph"/>
        <w:numPr>
          <w:ilvl w:val="0"/>
          <w:numId w:val="3"/>
        </w:numPr>
        <w:spacing w:after="90" w:line="290"/>
      </w:pPr>
      <w:r>
        <w:rPr>
          <w:rFonts w:ascii="Times New Roman" w:cs="Times New Roman" w:eastAsia="Times New Roman" w:hAnsi="Times New Roman"/>
          <w:sz w:val="24"/>
          <w:szCs w:val="24"/>
        </w:rPr>
        <w:t xml:space="preserve">Session and Context Resolution</w:t>
      </w:r>
    </w:p>
    <w:p>
      <w:pPr>
        <w:pStyle w:val="ListParagraph"/>
        <w:numPr>
          <w:ilvl w:val="0"/>
          <w:numId w:val="3"/>
        </w:numPr>
        <w:spacing w:after="90" w:line="290"/>
      </w:pPr>
      <w:r>
        <w:rPr>
          <w:rFonts w:ascii="Times New Roman" w:cs="Times New Roman" w:eastAsia="Times New Roman" w:hAnsi="Times New Roman"/>
          <w:sz w:val="24"/>
          <w:szCs w:val="24"/>
        </w:rPr>
        <w:t xml:space="preserve">Entity Extraction and NLP Pre-processing</w:t>
      </w:r>
    </w:p>
    <w:p>
      <w:pPr>
        <w:pStyle w:val="ListParagraph"/>
        <w:numPr>
          <w:ilvl w:val="0"/>
          <w:numId w:val="3"/>
        </w:numPr>
        <w:spacing w:after="90" w:line="290"/>
      </w:pPr>
      <w:r>
        <w:rPr>
          <w:rFonts w:ascii="Times New Roman" w:cs="Times New Roman" w:eastAsia="Times New Roman" w:hAnsi="Times New Roman"/>
          <w:sz w:val="24"/>
          <w:szCs w:val="24"/>
        </w:rPr>
        <w:t xml:space="preserve">Parallel Dense Retrieval and Sparse Retrieval</w:t>
      </w:r>
    </w:p>
    <w:p>
      <w:pPr>
        <w:pStyle w:val="ListParagraph"/>
        <w:numPr>
          <w:ilvl w:val="0"/>
          <w:numId w:val="3"/>
        </w:numPr>
        <w:spacing w:after="90" w:line="290"/>
      </w:pPr>
      <w:r>
        <w:rPr>
          <w:rFonts w:ascii="Times New Roman" w:cs="Times New Roman" w:eastAsia="Times New Roman" w:hAnsi="Times New Roman"/>
          <w:sz w:val="24"/>
          <w:szCs w:val="24"/>
        </w:rPr>
        <w:t xml:space="preserve">Hybrid Score Fusion and Ranking</w:t>
      </w:r>
    </w:p>
    <w:p>
      <w:pPr>
        <w:pStyle w:val="ListParagraph"/>
        <w:numPr>
          <w:ilvl w:val="0"/>
          <w:numId w:val="3"/>
        </w:numPr>
        <w:spacing w:after="90" w:line="290"/>
      </w:pPr>
      <w:r>
        <w:rPr>
          <w:rFonts w:ascii="Times New Roman" w:cs="Times New Roman" w:eastAsia="Times New Roman" w:hAnsi="Times New Roman"/>
          <w:sz w:val="24"/>
          <w:szCs w:val="24"/>
        </w:rPr>
        <w:t xml:space="preserve">Response Selection or Alternative-Suggestion Generation</w:t>
      </w:r>
    </w:p>
    <w:p>
      <w:pPr>
        <w:pStyle w:val="ListParagraph"/>
        <w:numPr>
          <w:ilvl w:val="0"/>
          <w:numId w:val="3"/>
        </w:numPr>
        <w:spacing w:after="90" w:line="290"/>
      </w:pPr>
      <w:r>
        <w:rPr>
          <w:rFonts w:ascii="Times New Roman" w:cs="Times New Roman" w:eastAsia="Times New Roman" w:hAnsi="Times New Roman"/>
          <w:sz w:val="24"/>
          <w:szCs w:val="24"/>
        </w:rPr>
        <w:t xml:space="preserve">Sentiment Evaluation and Escalation Decision</w:t>
      </w:r>
    </w:p>
    <w:p>
      <w:pPr>
        <w:pStyle w:val="ListParagraph"/>
        <w:numPr>
          <w:ilvl w:val="0"/>
          <w:numId w:val="3"/>
        </w:numPr>
        <w:spacing w:after="90" w:line="290"/>
      </w:pPr>
      <w:r>
        <w:rPr>
          <w:rFonts w:ascii="Times New Roman" w:cs="Times New Roman" w:eastAsia="Times New Roman" w:hAnsi="Times New Roman"/>
          <w:sz w:val="24"/>
          <w:szCs w:val="24"/>
        </w:rPr>
        <w:t xml:space="preserve">Persistent Audit Logging (SQLite)</w:t>
      </w:r>
    </w:p>
    <w:p>
      <w:pPr>
        <w:pStyle w:val="ListParagraph"/>
        <w:numPr>
          <w:ilvl w:val="0"/>
          <w:numId w:val="3"/>
        </w:numPr>
        <w:spacing w:after="90" w:line="290"/>
      </w:pPr>
      <w:r>
        <w:rPr>
          <w:rFonts w:ascii="Times New Roman" w:cs="Times New Roman" w:eastAsia="Times New Roman" w:hAnsi="Times New Roman"/>
          <w:sz w:val="24"/>
          <w:szCs w:val="24"/>
        </w:rPr>
        <w:t xml:space="preserve">Response Delivery to the User Interface</w:t>
      </w:r>
    </w:p>
    <w:p>
      <w:pPr>
        <w:spacing w:after="160" w:line="300"/>
        <w:jc w:val="both"/>
      </w:pPr>
      <w:r>
        <w:rPr>
          <w:rFonts w:ascii="Times New Roman" w:cs="Times New Roman" w:eastAsia="Times New Roman" w:hAnsi="Times New Roman"/>
          <w:sz w:val="24"/>
          <w:szCs w:val="24"/>
        </w:rPr>
        <w:t xml:space="preserve">This staged decomposition is significant from a systems-engineering standpoint because it isolates the computationally expensive retrieval stage (dense embedding inference) from the comparatively lightweight lexical and rule-based stages, which is the natural point at which caching, batching, or asynchronous execution would be introduced in a production hardening effort (see Chapter 9).</w:t>
      </w:r>
    </w:p>
    <w:p>
      <w:r>
        <w:br w:type="page"/>
      </w:r>
    </w:p>
    <w:p>
      <w:pPr>
        <w:pStyle w:val="Heading1"/>
        <w:spacing w:after="200" w:before="360"/>
      </w:pPr>
      <w:r>
        <w:rPr>
          <w:rFonts w:ascii="Times New Roman" w:cs="Times New Roman" w:eastAsia="Times New Roman" w:hAnsi="Times New Roman"/>
          <w:b/>
          <w:bCs/>
          <w:color w:val="1F3864"/>
          <w:sz w:val="30"/>
          <w:szCs w:val="30"/>
        </w:rPr>
        <w:t xml:space="preserve">Chapter 7: Methodology</w:t>
      </w:r>
    </w:p>
    <w:p>
      <w:pPr>
        <w:pStyle w:val="Heading2"/>
        <w:spacing w:after="160" w:before="280"/>
      </w:pPr>
      <w:r>
        <w:rPr>
          <w:rFonts w:ascii="Times New Roman" w:cs="Times New Roman" w:eastAsia="Times New Roman" w:hAnsi="Times New Roman"/>
          <w:b/>
          <w:bCs/>
          <w:color w:val="1F3864"/>
          <w:sz w:val="26"/>
          <w:szCs w:val="26"/>
        </w:rPr>
        <w:t xml:space="preserve">7.1 Requirement Analysis</w:t>
      </w:r>
    </w:p>
    <w:p>
      <w:pPr>
        <w:spacing w:after="160" w:line="300"/>
        <w:jc w:val="both"/>
      </w:pPr>
      <w:r>
        <w:rPr>
          <w:rFonts w:ascii="Times New Roman" w:cs="Times New Roman" w:eastAsia="Times New Roman" w:hAnsi="Times New Roman"/>
          <w:sz w:val="24"/>
          <w:szCs w:val="24"/>
        </w:rPr>
        <w:t xml:space="preserve">The requirement-elicitation stage translated the supplied project description — spanning contextual dialogue, FAQ retrieval, sentiment analysis, ticket escalation, analytics, feedback capture, and knowledge-base management — into concrete backend endpoints, relational data entities, and interface modules. This traceability from stated requirement to implemented artefact is summarised throughout the remainder of this chapter.</w:t>
      </w:r>
    </w:p>
    <w:p>
      <w:pPr>
        <w:pStyle w:val="Heading2"/>
        <w:spacing w:after="160" w:before="280"/>
      </w:pPr>
      <w:r>
        <w:rPr>
          <w:rFonts w:ascii="Times New Roman" w:cs="Times New Roman" w:eastAsia="Times New Roman" w:hAnsi="Times New Roman"/>
          <w:b/>
          <w:bCs/>
          <w:color w:val="1F3864"/>
          <w:sz w:val="26"/>
          <w:szCs w:val="26"/>
        </w:rPr>
        <w:t xml:space="preserve">7.2 Text Pre-processing and Linguistic Analysis</w:t>
      </w:r>
    </w:p>
    <w:p>
      <w:pPr>
        <w:spacing w:after="160" w:line="300"/>
        <w:jc w:val="both"/>
      </w:pPr>
      <w:r>
        <w:rPr>
          <w:rFonts w:ascii="Times New Roman" w:cs="Times New Roman" w:eastAsia="Times New Roman" w:hAnsi="Times New Roman"/>
          <w:sz w:val="24"/>
          <w:szCs w:val="24"/>
        </w:rPr>
        <w:t xml:space="preserve">Incoming customer messages are processed through the NLTK pipeline. Tokenisation segments raw text into lexical units; part-of-speech tagging annotates each token with its grammatical category; and lemmatization normalises inflected word forms to a common base form, which reduces sparsity in the downstream TF–IDF representation. These intermediate representations are also exposed, unmodified, through the NLP diagnostic playground for inspection. Sentiment scoring is performed using VADER (Valence Aware Dictionary and sEntiment Reasoner), a lexicon- and rule-based model well suited to short, informal text; VADER produces a normalised compound score in the range [−1, 1] together with a categorical sentiment label.</w:t>
      </w:r>
    </w:p>
    <w:p>
      <w:pPr>
        <w:pStyle w:val="Heading2"/>
        <w:spacing w:after="160" w:before="280"/>
      </w:pPr>
      <w:r>
        <w:rPr>
          <w:rFonts w:ascii="Times New Roman" w:cs="Times New Roman" w:eastAsia="Times New Roman" w:hAnsi="Times New Roman"/>
          <w:b/>
          <w:bCs/>
          <w:color w:val="1F3864"/>
          <w:sz w:val="26"/>
          <w:szCs w:val="26"/>
        </w:rPr>
        <w:t xml:space="preserve">7.3 Entity and Parameter Extraction</w:t>
      </w:r>
    </w:p>
    <w:p>
      <w:pPr>
        <w:spacing w:after="160" w:line="300"/>
        <w:jc w:val="both"/>
      </w:pPr>
      <w:r>
        <w:rPr>
          <w:rFonts w:ascii="Times New Roman" w:cs="Times New Roman" w:eastAsia="Times New Roman" w:hAnsi="Times New Roman"/>
          <w:sz w:val="24"/>
          <w:szCs w:val="24"/>
        </w:rPr>
        <w:t xml:space="preserve">Structured parameters required by support workflows — order identifiers (e.g., in the form ORD-9821), email addresses, and return-reason categories — are identified using regular-expression pattern matching in conjunction with the NLP pipeline's tokenisation output. Extracted values are bound to the active conversation's slot-filling state, enabling the system to request only the specific missing information required to proceed, rather than re-prompting for the entire query.</w:t>
      </w:r>
    </w:p>
    <w:p>
      <w:pPr>
        <w:pStyle w:val="Heading2"/>
        <w:spacing w:after="160" w:before="280"/>
      </w:pPr>
      <w:r>
        <w:rPr>
          <w:rFonts w:ascii="Times New Roman" w:cs="Times New Roman" w:eastAsia="Times New Roman" w:hAnsi="Times New Roman"/>
          <w:b/>
          <w:bCs/>
          <w:color w:val="1F3864"/>
          <w:sz w:val="26"/>
          <w:szCs w:val="26"/>
        </w:rPr>
        <w:t xml:space="preserve">7.4 Dense Semantic Retrieval</w:t>
      </w:r>
    </w:p>
    <w:p>
      <w:pPr>
        <w:spacing w:after="160" w:line="300"/>
        <w:jc w:val="both"/>
      </w:pPr>
      <w:r>
        <w:rPr>
          <w:rFonts w:ascii="Times New Roman" w:cs="Times New Roman" w:eastAsia="Times New Roman" w:hAnsi="Times New Roman"/>
          <w:sz w:val="24"/>
          <w:szCs w:val="24"/>
        </w:rPr>
        <w:t xml:space="preserve">The dense retrieval component encodes both the customer query and each FAQ entry into a fixed-length embedding using the pre-trained sentence-transformers/all-MiniLM-L6-v2 model, which projects text into a 384-dimensional vector space optimised such that semantically similar sentences are positioned close together under cosine distance. This model is a distilled variant within the Sentence-BERT family, offering a favourable trade-off between inference latency and semantic fidelity relative to larger transformer encoders, which makes it well suited to the latency budget of an interactive chat interface. Given a query embedding q and an FAQ embedding f, the similarity is computed as:</w:t>
      </w:r>
    </w:p>
    <w:p>
      <w:pPr>
        <w:spacing w:after="160" w:line="300"/>
        <w:jc w:val="both"/>
      </w:pPr>
      <w:r>
        <w:rPr>
          <w:rFonts w:ascii="Times New Roman" w:cs="Times New Roman" w:eastAsia="Times New Roman" w:hAnsi="Times New Roman"/>
          <w:i/>
          <w:iCs/>
          <w:sz w:val="24"/>
          <w:szCs w:val="24"/>
        </w:rPr>
        <w:t xml:space="preserve">cosine_similarity(q, f) = (q · f) / (‖q‖ ‖f‖)</w:t>
      </w:r>
    </w:p>
    <w:p>
      <w:pPr>
        <w:spacing w:after="160" w:line="300"/>
        <w:jc w:val="both"/>
      </w:pPr>
      <w:r>
        <w:rPr>
          <w:rFonts w:ascii="Times New Roman" w:cs="Times New Roman" w:eastAsia="Times New Roman" w:hAnsi="Times New Roman"/>
          <w:sz w:val="24"/>
          <w:szCs w:val="24"/>
        </w:rPr>
        <w:t xml:space="preserve">Because this measure is invariant to exact lexical overlap, it enables the retrieval of semantically related FAQ entries even where the customer's phrasing diverges substantially from the FAQ's authored wording.</w:t>
      </w:r>
    </w:p>
    <w:p>
      <w:pPr>
        <w:pStyle w:val="Heading2"/>
        <w:spacing w:after="160" w:before="280"/>
      </w:pPr>
      <w:r>
        <w:rPr>
          <w:rFonts w:ascii="Times New Roman" w:cs="Times New Roman" w:eastAsia="Times New Roman" w:hAnsi="Times New Roman"/>
          <w:b/>
          <w:bCs/>
          <w:color w:val="1F3864"/>
          <w:sz w:val="26"/>
          <w:szCs w:val="26"/>
        </w:rPr>
        <w:t xml:space="preserve">7.5 Sparse Lexical Retrieval</w:t>
      </w:r>
    </w:p>
    <w:p>
      <w:pPr>
        <w:spacing w:after="160" w:line="300"/>
        <w:jc w:val="both"/>
      </w:pPr>
      <w:r>
        <w:rPr>
          <w:rFonts w:ascii="Times New Roman" w:cs="Times New Roman" w:eastAsia="Times New Roman" w:hAnsi="Times New Roman"/>
          <w:sz w:val="24"/>
          <w:szCs w:val="24"/>
        </w:rPr>
        <w:t xml:space="preserve">In parallel, a sparse retrieval component represents the lemmatized query and FAQ corpus using Term Frequency–Inverse Document Frequency (TF–IDF) vectorisation, which up-weights terms that are locally frequent but globally discriminative across the FAQ corpus. Cosine similarity is again used to compare the query vector against each indexed FAQ vector. This channel is deliberately retained alongside dense retrieval because embedding models can, in some cases, under-weight rare but highly diagnostic terms (e.g., product codes or exact error strings) that a lexical model captures precisely.</w:t>
      </w:r>
    </w:p>
    <w:p>
      <w:pPr>
        <w:pStyle w:val="Heading2"/>
        <w:spacing w:after="160" w:before="280"/>
      </w:pPr>
      <w:r>
        <w:rPr>
          <w:rFonts w:ascii="Times New Roman" w:cs="Times New Roman" w:eastAsia="Times New Roman" w:hAnsi="Times New Roman"/>
          <w:b/>
          <w:bCs/>
          <w:color w:val="1F3864"/>
          <w:sz w:val="26"/>
          <w:szCs w:val="26"/>
        </w:rPr>
        <w:t xml:space="preserve">7.6 Hybrid Score Fusion</w:t>
      </w:r>
    </w:p>
    <w:p>
      <w:pPr>
        <w:spacing w:after="160" w:line="300"/>
        <w:jc w:val="both"/>
      </w:pPr>
      <w:r>
        <w:rPr>
          <w:rFonts w:ascii="Times New Roman" w:cs="Times New Roman" w:eastAsia="Times New Roman" w:hAnsi="Times New Roman"/>
          <w:sz w:val="24"/>
          <w:szCs w:val="24"/>
        </w:rPr>
        <w:t xml:space="preserve">The two retrieval channels are combined through a fixed linear (convex) combination, supplemented by an exact-keyword boost term. Denoting the dense similarity score as S_dense and the sparse similarity score as S_sparse, the fused score S_hybrid for a candidate FAQ entry is computed as:</w:t>
      </w:r>
    </w:p>
    <w:p>
      <w:pPr>
        <w:spacing w:after="160" w:line="300"/>
        <w:jc w:val="both"/>
      </w:pPr>
      <w:r>
        <w:rPr>
          <w:rFonts w:ascii="Times New Roman" w:cs="Times New Roman" w:eastAsia="Times New Roman" w:hAnsi="Times New Roman"/>
          <w:i/>
          <w:iCs/>
          <w:sz w:val="24"/>
          <w:szCs w:val="24"/>
        </w:rPr>
        <w:t xml:space="preserve">S_hybrid = (0.65 × S_dense) + (0.35 × S_sparse) + boost_exact</w:t>
      </w:r>
    </w:p>
    <w:p>
      <w:pPr>
        <w:spacing w:after="160" w:line="300"/>
        <w:jc w:val="both"/>
      </w:pPr>
      <w:r>
        <w:rPr>
          <w:rFonts w:ascii="Times New Roman" w:cs="Times New Roman" w:eastAsia="Times New Roman" w:hAnsi="Times New Roman"/>
          <w:sz w:val="24"/>
          <w:szCs w:val="24"/>
        </w:rPr>
        <w:t xml:space="preserve">where boost_exact is a small additive term applied when the query contains an exact keyword or phrase match against the candidate FAQ. The 0.65/0.35 weighting reflects a design decision, specified in the source project, to weight semantic similarity more heavily than lexical similarity while retaining lexical matching as a corrective signal. The fused ranking is then used both to select the top response and to construct a ranked list of alternative suggestions when the leading candidate's confidence falls below the system's acceptance threshold.</w:t>
      </w:r>
    </w:p>
    <w:p>
      <w:pPr>
        <w:pStyle w:val="Heading2"/>
        <w:spacing w:after="160" w:before="280"/>
      </w:pPr>
      <w:r>
        <w:rPr>
          <w:rFonts w:ascii="Times New Roman" w:cs="Times New Roman" w:eastAsia="Times New Roman" w:hAnsi="Times New Roman"/>
          <w:b/>
          <w:bCs/>
          <w:color w:val="1F3864"/>
          <w:sz w:val="26"/>
          <w:szCs w:val="26"/>
        </w:rPr>
        <w:t xml:space="preserve">7.7 Sentiment-Driven Escalation</w:t>
      </w:r>
    </w:p>
    <w:p>
      <w:pPr>
        <w:spacing w:after="160" w:line="300"/>
        <w:jc w:val="both"/>
      </w:pPr>
      <w:r>
        <w:rPr>
          <w:rFonts w:ascii="Times New Roman" w:cs="Times New Roman" w:eastAsia="Times New Roman" w:hAnsi="Times New Roman"/>
          <w:sz w:val="24"/>
          <w:szCs w:val="24"/>
        </w:rPr>
        <w:t xml:space="preserve">VADER sentiment scores are evaluated in real time against each customer turn. When sustained negative sentiment or repeated unresolved queries are detected within a session, the system generates an escalation record using a TICK-##### identifier scheme. Each ticket captures the issue category, a natural-language description, the customer's contact information, and an assigned priority level, enabling human agents to triage escalations without needing to replay the full conversation transcript.</w:t>
      </w:r>
    </w:p>
    <w:p>
      <w:pPr>
        <w:pStyle w:val="Heading2"/>
        <w:spacing w:after="160" w:before="280"/>
      </w:pPr>
      <w:r>
        <w:rPr>
          <w:rFonts w:ascii="Times New Roman" w:cs="Times New Roman" w:eastAsia="Times New Roman" w:hAnsi="Times New Roman"/>
          <w:b/>
          <w:bCs/>
          <w:color w:val="1F3864"/>
          <w:sz w:val="26"/>
          <w:szCs w:val="26"/>
        </w:rPr>
        <w:t xml:space="preserve">7.8 Persistence and Audit Logging</w:t>
      </w:r>
    </w:p>
    <w:p>
      <w:pPr>
        <w:spacing w:after="160" w:line="300"/>
        <w:jc w:val="both"/>
      </w:pPr>
      <w:r>
        <w:rPr>
          <w:rFonts w:ascii="Times New Roman" w:cs="Times New Roman" w:eastAsia="Times New Roman" w:hAnsi="Times New Roman"/>
          <w:sz w:val="24"/>
          <w:szCs w:val="24"/>
        </w:rPr>
        <w:t xml:space="preserve">All interaction data is persisted in a relational SQLite schema spanning conversations, messages, FAQ entries, interaction logs, feedback records, and tickets. Each logged interaction captures the customer query, the generated response, the classified intent, the retrieval confidence score, the sentiment label, end-to-end latency, and resolution status — a schema designed explicitly to support downstream analytics and to provide an auditable record for quality assurance.</w:t>
      </w:r>
    </w:p>
    <w:p>
      <w:pPr>
        <w:pStyle w:val="Heading2"/>
        <w:spacing w:after="160" w:before="280"/>
      </w:pPr>
      <w:r>
        <w:rPr>
          <w:rFonts w:ascii="Times New Roman" w:cs="Times New Roman" w:eastAsia="Times New Roman" w:hAnsi="Times New Roman"/>
          <w:b/>
          <w:bCs/>
          <w:color w:val="1F3864"/>
          <w:sz w:val="26"/>
          <w:szCs w:val="26"/>
        </w:rPr>
        <w:t xml:space="preserve">7.9 Automated Testing</w:t>
      </w:r>
    </w:p>
    <w:p>
      <w:pPr>
        <w:spacing w:after="160" w:line="300"/>
        <w:jc w:val="both"/>
      </w:pPr>
      <w:r>
        <w:rPr>
          <w:rFonts w:ascii="Times New Roman" w:cs="Times New Roman" w:eastAsia="Times New Roman" w:hAnsi="Times New Roman"/>
          <w:sz w:val="24"/>
          <w:szCs w:val="24"/>
        </w:rPr>
        <w:t xml:space="preserve">The supplied project repository specifies automated testing using Pytest in conjunction with the FastAPI TestClient, invoked via the command pytest tests/ -v. This testing strategy targets endpoint-level integration behaviour — verifying request validation, response schemas, and the correctness of the retrieval and escalation logic under representative inputs — rather than relying solely on manual exploratory testing.</w:t>
      </w:r>
    </w:p>
    <w:p>
      <w:r>
        <w:br w:type="page"/>
      </w:r>
    </w:p>
    <w:p>
      <w:pPr>
        <w:pStyle w:val="Heading1"/>
        <w:spacing w:after="200" w:before="360"/>
      </w:pPr>
      <w:r>
        <w:rPr>
          <w:rFonts w:ascii="Times New Roman" w:cs="Times New Roman" w:eastAsia="Times New Roman" w:hAnsi="Times New Roman"/>
          <w:b/>
          <w:bCs/>
          <w:color w:val="1F3864"/>
          <w:sz w:val="30"/>
          <w:szCs w:val="30"/>
        </w:rPr>
        <w:t xml:space="preserve">Chapter 8: Expected Outcomes and Evaluation Considerations</w:t>
      </w:r>
    </w:p>
    <w:p>
      <w:pPr>
        <w:pStyle w:val="Heading2"/>
        <w:spacing w:after="160" w:before="280"/>
      </w:pPr>
      <w:r>
        <w:rPr>
          <w:rFonts w:ascii="Times New Roman" w:cs="Times New Roman" w:eastAsia="Times New Roman" w:hAnsi="Times New Roman"/>
          <w:b/>
          <w:bCs/>
          <w:color w:val="1F3864"/>
          <w:sz w:val="26"/>
          <w:szCs w:val="26"/>
        </w:rPr>
        <w:t xml:space="preserve">8.1 Expected Outcomes</w:t>
      </w:r>
    </w:p>
    <w:p>
      <w:pPr>
        <w:pStyle w:val="ListParagraph"/>
        <w:numPr>
          <w:ilvl w:val="0"/>
          <w:numId w:val="4"/>
        </w:numPr>
        <w:spacing w:after="90" w:line="290"/>
      </w:pPr>
      <w:r>
        <w:rPr>
          <w:rFonts w:ascii="Times New Roman" w:cs="Times New Roman" w:eastAsia="Times New Roman" w:hAnsi="Times New Roman"/>
          <w:sz w:val="24"/>
          <w:szCs w:val="24"/>
        </w:rPr>
        <w:t xml:space="preserve">A functional, stateful customer-support chatbot capable of maintaining context across multi-turn conversations.</w:t>
      </w:r>
    </w:p>
    <w:p>
      <w:pPr>
        <w:pStyle w:val="ListParagraph"/>
        <w:numPr>
          <w:ilvl w:val="0"/>
          <w:numId w:val="4"/>
        </w:numPr>
        <w:spacing w:after="90" w:line="290"/>
      </w:pPr>
      <w:r>
        <w:rPr>
          <w:rFonts w:ascii="Times New Roman" w:cs="Times New Roman" w:eastAsia="Times New Roman" w:hAnsi="Times New Roman"/>
          <w:sz w:val="24"/>
          <w:szCs w:val="24"/>
        </w:rPr>
        <w:t xml:space="preserve">Improved FAQ-retrieval robustness achieved through the combination of dense semantic and sparse lexical matching.</w:t>
      </w:r>
    </w:p>
    <w:p>
      <w:pPr>
        <w:pStyle w:val="ListParagraph"/>
        <w:numPr>
          <w:ilvl w:val="0"/>
          <w:numId w:val="4"/>
        </w:numPr>
        <w:spacing w:after="90" w:line="290"/>
      </w:pPr>
      <w:r>
        <w:rPr>
          <w:rFonts w:ascii="Times New Roman" w:cs="Times New Roman" w:eastAsia="Times New Roman" w:hAnsi="Times New Roman"/>
          <w:sz w:val="24"/>
          <w:szCs w:val="24"/>
        </w:rPr>
        <w:t xml:space="preserve">Demonstrably better handling of paraphrased customer queries relative to a purely lexical baseline, attributable to dense sentence-embedding retrieval.</w:t>
      </w:r>
    </w:p>
    <w:p>
      <w:pPr>
        <w:pStyle w:val="ListParagraph"/>
        <w:numPr>
          <w:ilvl w:val="0"/>
          <w:numId w:val="4"/>
        </w:numPr>
        <w:spacing w:after="90" w:line="290"/>
      </w:pPr>
      <w:r>
        <w:rPr>
          <w:rFonts w:ascii="Times New Roman" w:cs="Times New Roman" w:eastAsia="Times New Roman" w:hAnsi="Times New Roman"/>
          <w:sz w:val="24"/>
          <w:szCs w:val="24"/>
        </w:rPr>
        <w:t xml:space="preserve">Real-time sentiment awareness enabling the automated escalation of frustrated or unresolved interactions.</w:t>
      </w:r>
    </w:p>
    <w:p>
      <w:pPr>
        <w:pStyle w:val="ListParagraph"/>
        <w:numPr>
          <w:ilvl w:val="0"/>
          <w:numId w:val="4"/>
        </w:numPr>
        <w:spacing w:after="90" w:line="290"/>
      </w:pPr>
      <w:r>
        <w:rPr>
          <w:rFonts w:ascii="Times New Roman" w:cs="Times New Roman" w:eastAsia="Times New Roman" w:hAnsi="Times New Roman"/>
          <w:sz w:val="24"/>
          <w:szCs w:val="24"/>
        </w:rPr>
        <w:t xml:space="preserve">A persistent, auditable record of support interactions and customer feedback suitable for retrospective analysis.</w:t>
      </w:r>
    </w:p>
    <w:p>
      <w:pPr>
        <w:pStyle w:val="ListParagraph"/>
        <w:numPr>
          <w:ilvl w:val="0"/>
          <w:numId w:val="4"/>
        </w:numPr>
        <w:spacing w:after="90" w:line="290"/>
      </w:pPr>
      <w:r>
        <w:rPr>
          <w:rFonts w:ascii="Times New Roman" w:cs="Times New Roman" w:eastAsia="Times New Roman" w:hAnsi="Times New Roman"/>
          <w:sz w:val="24"/>
          <w:szCs w:val="24"/>
        </w:rPr>
        <w:t xml:space="preserve">Administrative visibility through key-performance-indicator dashboards, searchable logs, ticket queues, and CSV export.</w:t>
      </w:r>
    </w:p>
    <w:p>
      <w:pPr>
        <w:pStyle w:val="ListParagraph"/>
        <w:numPr>
          <w:ilvl w:val="0"/>
          <w:numId w:val="4"/>
        </w:numPr>
        <w:spacing w:after="90" w:line="290"/>
      </w:pPr>
      <w:r>
        <w:rPr>
          <w:rFonts w:ascii="Times New Roman" w:cs="Times New Roman" w:eastAsia="Times New Roman" w:hAnsi="Times New Roman"/>
          <w:sz w:val="24"/>
          <w:szCs w:val="24"/>
        </w:rPr>
        <w:t xml:space="preserve">Dynamic FAQ knowledge-base management with on-demand re-indexing of the retrieval corpus.</w:t>
      </w:r>
    </w:p>
    <w:p>
      <w:pPr>
        <w:pStyle w:val="ListParagraph"/>
        <w:numPr>
          <w:ilvl w:val="0"/>
          <w:numId w:val="4"/>
        </w:numPr>
        <w:spacing w:after="90" w:line="290"/>
      </w:pPr>
      <w:r>
        <w:rPr>
          <w:rFonts w:ascii="Times New Roman" w:cs="Times New Roman" w:eastAsia="Times New Roman" w:hAnsi="Times New Roman"/>
          <w:sz w:val="24"/>
          <w:szCs w:val="24"/>
        </w:rPr>
        <w:t xml:space="preserve">An NLP playground exposing intermediate model outputs to support explainability and debugging.</w:t>
      </w:r>
    </w:p>
    <w:p>
      <w:pPr>
        <w:pStyle w:val="ListParagraph"/>
        <w:numPr>
          <w:ilvl w:val="0"/>
          <w:numId w:val="4"/>
        </w:numPr>
        <w:spacing w:after="90" w:line="290"/>
      </w:pPr>
      <w:r>
        <w:rPr>
          <w:rFonts w:ascii="Times New Roman" w:cs="Times New Roman" w:eastAsia="Times New Roman" w:hAnsi="Times New Roman"/>
          <w:sz w:val="24"/>
          <w:szCs w:val="24"/>
        </w:rPr>
        <w:t xml:space="preserve">A structured, documented REST API suitable for future integration with adjacent systems.</w:t>
      </w:r>
    </w:p>
    <w:p>
      <w:pPr>
        <w:pStyle w:val="Heading2"/>
        <w:spacing w:after="160" w:before="280"/>
      </w:pPr>
      <w:r>
        <w:rPr>
          <w:rFonts w:ascii="Times New Roman" w:cs="Times New Roman" w:eastAsia="Times New Roman" w:hAnsi="Times New Roman"/>
          <w:b/>
          <w:bCs/>
          <w:color w:val="1F3864"/>
          <w:sz w:val="26"/>
          <w:szCs w:val="26"/>
        </w:rPr>
        <w:t xml:space="preserve">8.2 Evaluation Considerations</w:t>
      </w:r>
    </w:p>
    <w:p>
      <w:pPr>
        <w:spacing w:after="160" w:line="300"/>
        <w:jc w:val="both"/>
      </w:pPr>
      <w:r>
        <w:rPr>
          <w:rFonts w:ascii="Times New Roman" w:cs="Times New Roman" w:eastAsia="Times New Roman" w:hAnsi="Times New Roman"/>
          <w:sz w:val="24"/>
          <w:szCs w:val="24"/>
        </w:rPr>
        <w:t xml:space="preserve">A rigorous evaluation of the hybrid retriever described in Chapter 7 would, in a production or research setting, report standard information-retrieval metrics — for example, top-k accuracy, Mean Reciprocal Rank (MRR), and Normalised Discounted Cumulative Gain (nDCG) — computed against a held-out set of customer queries with ground-truth FAQ labels, ideally benchmarked against the dense-only and sparse-only baselines in isolation to quantify the marginal contribution of fusion. The project materials supplied for this report do not include such benchmark results; accordingly, no quantitative performance figures are asserted here, and this is noted as a direction for future validation in Chapter 10 rather than presented as an established result.</w:t>
      </w:r>
    </w:p>
    <w:p>
      <w:r>
        <w:br w:type="page"/>
      </w:r>
    </w:p>
    <w:p>
      <w:pPr>
        <w:pStyle w:val="Heading1"/>
        <w:spacing w:after="200" w:before="360"/>
      </w:pPr>
      <w:r>
        <w:rPr>
          <w:rFonts w:ascii="Times New Roman" w:cs="Times New Roman" w:eastAsia="Times New Roman" w:hAnsi="Times New Roman"/>
          <w:b/>
          <w:bCs/>
          <w:color w:val="1F3864"/>
          <w:sz w:val="30"/>
          <w:szCs w:val="30"/>
        </w:rPr>
        <w:t xml:space="preserve">Chapter 9: Limitations and Threats to Validity</w:t>
      </w:r>
    </w:p>
    <w:p>
      <w:pPr>
        <w:spacing w:after="160" w:line="300"/>
        <w:jc w:val="both"/>
      </w:pPr>
      <w:r>
        <w:rPr>
          <w:rFonts w:ascii="Times New Roman" w:cs="Times New Roman" w:eastAsia="Times New Roman" w:hAnsi="Times New Roman"/>
          <w:sz w:val="24"/>
          <w:szCs w:val="24"/>
        </w:rPr>
        <w:t xml:space="preserve">A critical evaluation of the architecture described in this report surfaces several limitations that would need to be addressed before production deployment.</w:t>
      </w:r>
    </w:p>
    <w:p>
      <w:pPr>
        <w:pStyle w:val="Heading3"/>
        <w:spacing w:after="120" w:before="220"/>
      </w:pPr>
      <w:r>
        <w:rPr>
          <w:rFonts w:ascii="Times New Roman" w:cs="Times New Roman" w:eastAsia="Times New Roman" w:hAnsi="Times New Roman"/>
          <w:b/>
          <w:bCs/>
          <w:i/>
          <w:iCs/>
          <w:color w:val="2E5395"/>
          <w:sz w:val="24"/>
          <w:szCs w:val="24"/>
        </w:rPr>
        <w:t xml:space="preserve">9.1 Fixed Fusion Weighting</w:t>
      </w:r>
    </w:p>
    <w:p>
      <w:pPr>
        <w:spacing w:after="160" w:line="300"/>
        <w:jc w:val="both"/>
      </w:pPr>
      <w:r>
        <w:rPr>
          <w:rFonts w:ascii="Times New Roman" w:cs="Times New Roman" w:eastAsia="Times New Roman" w:hAnsi="Times New Roman"/>
          <w:sz w:val="24"/>
          <w:szCs w:val="24"/>
        </w:rPr>
        <w:t xml:space="preserve">The 0.65/0.35 dense–sparse fusion weighting is statically configured rather than learned or adapted per query. A learned fusion function — for instance, a lightweight logistic-regression re-ranker trained on labelled query–FAQ relevance pairs — would likely generalise better across query types than a single global weighting.</w:t>
      </w:r>
    </w:p>
    <w:p>
      <w:pPr>
        <w:pStyle w:val="Heading3"/>
        <w:spacing w:after="120" w:before="220"/>
      </w:pPr>
      <w:r>
        <w:rPr>
          <w:rFonts w:ascii="Times New Roman" w:cs="Times New Roman" w:eastAsia="Times New Roman" w:hAnsi="Times New Roman"/>
          <w:b/>
          <w:bCs/>
          <w:i/>
          <w:iCs/>
          <w:color w:val="2E5395"/>
          <w:sz w:val="24"/>
          <w:szCs w:val="24"/>
        </w:rPr>
        <w:t xml:space="preserve">9.2 Retrieval Latency and Scalability</w:t>
      </w:r>
    </w:p>
    <w:p>
      <w:pPr>
        <w:spacing w:after="160" w:line="300"/>
        <w:jc w:val="both"/>
      </w:pPr>
      <w:r>
        <w:rPr>
          <w:rFonts w:ascii="Times New Roman" w:cs="Times New Roman" w:eastAsia="Times New Roman" w:hAnsi="Times New Roman"/>
          <w:sz w:val="24"/>
          <w:szCs w:val="24"/>
        </w:rPr>
        <w:t xml:space="preserve">Dense retrieval requires an embedding-model inference pass per query and, without an approximate-nearest-neighbour index (e.g., FAISS or HNSW), a linear scan of cosine similarities against the full FAQ corpus. This is tractable for small-to-moderate FAQ sets but would require an indexed vector store to scale to large knowledge bases without degrading response latency.</w:t>
      </w:r>
    </w:p>
    <w:p>
      <w:pPr>
        <w:pStyle w:val="Heading3"/>
        <w:spacing w:after="120" w:before="220"/>
      </w:pPr>
      <w:r>
        <w:rPr>
          <w:rFonts w:ascii="Times New Roman" w:cs="Times New Roman" w:eastAsia="Times New Roman" w:hAnsi="Times New Roman"/>
          <w:b/>
          <w:bCs/>
          <w:i/>
          <w:iCs/>
          <w:color w:val="2E5395"/>
          <w:sz w:val="24"/>
          <w:szCs w:val="24"/>
        </w:rPr>
        <w:t xml:space="preserve">9.3 Single-Node Persistence</w:t>
      </w:r>
    </w:p>
    <w:p>
      <w:pPr>
        <w:spacing w:after="160" w:line="300"/>
        <w:jc w:val="both"/>
      </w:pPr>
      <w:r>
        <w:rPr>
          <w:rFonts w:ascii="Times New Roman" w:cs="Times New Roman" w:eastAsia="Times New Roman" w:hAnsi="Times New Roman"/>
          <w:sz w:val="24"/>
          <w:szCs w:val="24"/>
        </w:rPr>
        <w:t xml:space="preserve">SQLite is well suited to prototyping and moderate write volumes but is not designed for high-concurrency, multi-writer production workloads; a horizontally scalable deployment would require migration to a server-based relational database or an appropriately sharded store.</w:t>
      </w:r>
    </w:p>
    <w:p>
      <w:pPr>
        <w:pStyle w:val="Heading3"/>
        <w:spacing w:after="120" w:before="220"/>
      </w:pPr>
      <w:r>
        <w:rPr>
          <w:rFonts w:ascii="Times New Roman" w:cs="Times New Roman" w:eastAsia="Times New Roman" w:hAnsi="Times New Roman"/>
          <w:b/>
          <w:bCs/>
          <w:i/>
          <w:iCs/>
          <w:color w:val="2E5395"/>
          <w:sz w:val="24"/>
          <w:szCs w:val="24"/>
        </w:rPr>
        <w:t xml:space="preserve">9.4 Lexicon-Based Sentiment Analysis</w:t>
      </w:r>
    </w:p>
    <w:p>
      <w:pPr>
        <w:spacing w:after="160" w:line="300"/>
        <w:jc w:val="both"/>
      </w:pPr>
      <w:r>
        <w:rPr>
          <w:rFonts w:ascii="Times New Roman" w:cs="Times New Roman" w:eastAsia="Times New Roman" w:hAnsi="Times New Roman"/>
          <w:sz w:val="24"/>
          <w:szCs w:val="24"/>
        </w:rPr>
        <w:t xml:space="preserve">VADER is a lexicon- and rule-based sentiment model tuned primarily for social-media-style English text. It may misclassify sentiment expressed through sarcasm, domain-specific terminology, or languages other than English, which bears directly on the reliability of the escalation trigger.</w:t>
      </w:r>
    </w:p>
    <w:p>
      <w:pPr>
        <w:pStyle w:val="Heading3"/>
        <w:spacing w:after="120" w:before="220"/>
      </w:pPr>
      <w:r>
        <w:rPr>
          <w:rFonts w:ascii="Times New Roman" w:cs="Times New Roman" w:eastAsia="Times New Roman" w:hAnsi="Times New Roman"/>
          <w:b/>
          <w:bCs/>
          <w:i/>
          <w:iCs/>
          <w:color w:val="2E5395"/>
          <w:sz w:val="24"/>
          <w:szCs w:val="24"/>
        </w:rPr>
        <w:t xml:space="preserve">9.5 Absence of Reported Benchmarks</w:t>
      </w:r>
    </w:p>
    <w:p>
      <w:pPr>
        <w:spacing w:after="160" w:line="300"/>
        <w:jc w:val="both"/>
      </w:pPr>
      <w:r>
        <w:rPr>
          <w:rFonts w:ascii="Times New Roman" w:cs="Times New Roman" w:eastAsia="Times New Roman" w:hAnsi="Times New Roman"/>
          <w:sz w:val="24"/>
          <w:szCs w:val="24"/>
        </w:rPr>
        <w:t xml:space="preserve">As noted in Section 8.2, no quantitative accuracy, latency, or user-satisfaction benchmarks were included in the source materials for this report. Claims of “improved” retrieval performance should therefore be read as an architectural expectation grounded in the retrieval literature, not as an empirically validated result for this specific implementation.</w:t>
      </w:r>
    </w:p>
    <w:p>
      <w:r>
        <w:br w:type="page"/>
      </w:r>
    </w:p>
    <w:p>
      <w:pPr>
        <w:pStyle w:val="Heading1"/>
        <w:spacing w:after="200" w:before="360"/>
      </w:pPr>
      <w:r>
        <w:rPr>
          <w:rFonts w:ascii="Times New Roman" w:cs="Times New Roman" w:eastAsia="Times New Roman" w:hAnsi="Times New Roman"/>
          <w:b/>
          <w:bCs/>
          <w:color w:val="1F3864"/>
          <w:sz w:val="30"/>
          <w:szCs w:val="30"/>
        </w:rPr>
        <w:t xml:space="preserve">Chapter 10: Future Work</w:t>
      </w:r>
    </w:p>
    <w:p>
      <w:pPr>
        <w:pStyle w:val="ListParagraph"/>
        <w:numPr>
          <w:ilvl w:val="0"/>
          <w:numId w:val="4"/>
        </w:numPr>
        <w:spacing w:after="90" w:line="290"/>
      </w:pPr>
      <w:r>
        <w:rPr>
          <w:rFonts w:ascii="Times New Roman" w:cs="Times New Roman" w:eastAsia="Times New Roman" w:hAnsi="Times New Roman"/>
          <w:sz w:val="24"/>
          <w:szCs w:val="24"/>
        </w:rPr>
        <w:t xml:space="preserve">Replace the fixed dense–sparse fusion weighting with a learned re-ranking layer trained on logged interaction outcomes and explicit user feedback.</w:t>
      </w:r>
    </w:p>
    <w:p>
      <w:pPr>
        <w:pStyle w:val="ListParagraph"/>
        <w:numPr>
          <w:ilvl w:val="0"/>
          <w:numId w:val="4"/>
        </w:numPr>
        <w:spacing w:after="90" w:line="290"/>
      </w:pPr>
      <w:r>
        <w:rPr>
          <w:rFonts w:ascii="Times New Roman" w:cs="Times New Roman" w:eastAsia="Times New Roman" w:hAnsi="Times New Roman"/>
          <w:sz w:val="24"/>
          <w:szCs w:val="24"/>
        </w:rPr>
        <w:t xml:space="preserve">Introduce an approximate-nearest-neighbour vector index to support sub-linear retrieval latency as the FAQ corpus scales.</w:t>
      </w:r>
    </w:p>
    <w:p>
      <w:pPr>
        <w:pStyle w:val="ListParagraph"/>
        <w:numPr>
          <w:ilvl w:val="0"/>
          <w:numId w:val="4"/>
        </w:numPr>
        <w:spacing w:after="90" w:line="290"/>
      </w:pPr>
      <w:r>
        <w:rPr>
          <w:rFonts w:ascii="Times New Roman" w:cs="Times New Roman" w:eastAsia="Times New Roman" w:hAnsi="Times New Roman"/>
          <w:sz w:val="24"/>
          <w:szCs w:val="24"/>
        </w:rPr>
        <w:t xml:space="preserve">Migrate persistence from SQLite to a horizontally scalable relational or document store for multi-tenant, high-concurrency deployment.</w:t>
      </w:r>
    </w:p>
    <w:p>
      <w:pPr>
        <w:pStyle w:val="ListParagraph"/>
        <w:numPr>
          <w:ilvl w:val="0"/>
          <w:numId w:val="4"/>
        </w:numPr>
        <w:spacing w:after="90" w:line="290"/>
      </w:pPr>
      <w:r>
        <w:rPr>
          <w:rFonts w:ascii="Times New Roman" w:cs="Times New Roman" w:eastAsia="Times New Roman" w:hAnsi="Times New Roman"/>
          <w:sz w:val="24"/>
          <w:szCs w:val="24"/>
        </w:rPr>
        <w:t xml:space="preserve">Conduct a controlled evaluation comparing dense-only, sparse-only, and hybrid retrieval using standard IR metrics (top-k accuracy, MRR, nDCG) against a labelled query set.</w:t>
      </w:r>
    </w:p>
    <w:p>
      <w:pPr>
        <w:pStyle w:val="ListParagraph"/>
        <w:numPr>
          <w:ilvl w:val="0"/>
          <w:numId w:val="4"/>
        </w:numPr>
        <w:spacing w:after="90" w:line="290"/>
      </w:pPr>
      <w:r>
        <w:rPr>
          <w:rFonts w:ascii="Times New Roman" w:cs="Times New Roman" w:eastAsia="Times New Roman" w:hAnsi="Times New Roman"/>
          <w:sz w:val="24"/>
          <w:szCs w:val="24"/>
        </w:rPr>
        <w:t xml:space="preserve">Extend sentiment analysis with a fine-tuned transformer-based classifier to improve robustness to sarcasm and domain-specific phrasing.</w:t>
      </w:r>
    </w:p>
    <w:p>
      <w:pPr>
        <w:pStyle w:val="ListParagraph"/>
        <w:numPr>
          <w:ilvl w:val="0"/>
          <w:numId w:val="4"/>
        </w:numPr>
        <w:spacing w:after="90" w:line="290"/>
      </w:pPr>
      <w:r>
        <w:rPr>
          <w:rFonts w:ascii="Times New Roman" w:cs="Times New Roman" w:eastAsia="Times New Roman" w:hAnsi="Times New Roman"/>
          <w:sz w:val="24"/>
          <w:szCs w:val="24"/>
        </w:rPr>
        <w:t xml:space="preserve">Integrate the platform with a live enterprise CRM and courier-tracking API to close the loop on order-related support scenarios, subject to the organisation's data-governance requirements.</w:t>
      </w:r>
    </w:p>
    <w:p>
      <w:pPr>
        <w:pStyle w:val="ListParagraph"/>
        <w:numPr>
          <w:ilvl w:val="0"/>
          <w:numId w:val="4"/>
        </w:numPr>
        <w:spacing w:after="90" w:line="290"/>
      </w:pPr>
      <w:r>
        <w:rPr>
          <w:rFonts w:ascii="Times New Roman" w:cs="Times New Roman" w:eastAsia="Times New Roman" w:hAnsi="Times New Roman"/>
          <w:sz w:val="24"/>
          <w:szCs w:val="24"/>
        </w:rPr>
        <w:t xml:space="preserve">Add role-based access control and encryption at rest for the persistence layer ahead of any production deployment handling personally identifiable customer data.</w:t>
      </w:r>
    </w:p>
    <w:p>
      <w:r>
        <w:br w:type="page"/>
      </w:r>
    </w:p>
    <w:p>
      <w:pPr>
        <w:pStyle w:val="Heading1"/>
        <w:spacing w:after="200" w:before="360"/>
      </w:pPr>
      <w:r>
        <w:rPr>
          <w:rFonts w:ascii="Times New Roman" w:cs="Times New Roman" w:eastAsia="Times New Roman" w:hAnsi="Times New Roman"/>
          <w:b/>
          <w:bCs/>
          <w:color w:val="1F3864"/>
          <w:sz w:val="30"/>
          <w:szCs w:val="30"/>
        </w:rPr>
        <w:t xml:space="preserve">Chapter 11: Certificate of Completion and Communication Proof</w:t>
      </w:r>
    </w:p>
    <w:p>
      <w:pPr>
        <w:spacing w:after="160" w:line="300"/>
        <w:jc w:val="both"/>
      </w:pPr>
      <w:r>
        <w:rPr>
          <w:rFonts w:ascii="Times New Roman" w:cs="Times New Roman" w:eastAsia="Times New Roman" w:hAnsi="Times New Roman"/>
          <w:sz w:val="24"/>
          <w:szCs w:val="24"/>
        </w:rPr>
        <w:t xml:space="preserve">The certificate reproduced in the preliminary pages of this report (see page iv) states that Ayush Dixit completed a three-month, AICTE &amp; ICAC approved internship programme at Codec Technologies Pvt. Ltd. between 28 May 2026 and 29 August 2026, in the role of Artificial Intelligence Intern. The certificate is countersigned by Dr. Anurag Shrivastava, Program Manager, and bears the identifier AICTE ID – CORPORATE6759d549ce59e1733940553.</w:t>
      </w:r>
    </w:p>
    <w:p>
      <w:pPr>
        <w:spacing w:after="160" w:line="300"/>
        <w:jc w:val="both"/>
      </w:pPr>
      <w:r>
        <w:rPr>
          <w:rFonts w:ascii="Times New Roman" w:cs="Times New Roman" w:eastAsia="Times New Roman" w:hAnsi="Times New Roman"/>
          <w:sz w:val="24"/>
          <w:szCs w:val="24"/>
        </w:rPr>
        <w:t xml:space="preserve">No separate written communication record (for example, offer or completion correspondence) was included in the source materials supplied for this report. Consistent with academic-integrity requirements, no such record has been fabricated. Should the university's submission guidelines require additional communication proof beyond the certificate, that material should be appended by the candidate prior to final submission.</w:t>
      </w:r>
    </w:p>
    <w:p>
      <w:r>
        <w:br w:type="page"/>
      </w:r>
    </w:p>
    <w:p>
      <w:pPr>
        <w:pStyle w:val="Heading1"/>
        <w:spacing w:after="200" w:before="360"/>
      </w:pPr>
      <w:r>
        <w:rPr>
          <w:rFonts w:ascii="Times New Roman" w:cs="Times New Roman" w:eastAsia="Times New Roman" w:hAnsi="Times New Roman"/>
          <w:b/>
          <w:bCs/>
          <w:color w:val="1F3864"/>
          <w:sz w:val="30"/>
          <w:szCs w:val="30"/>
        </w:rPr>
        <w:t xml:space="preserve">Bibliography / References</w:t>
      </w:r>
    </w:p>
    <w:p>
      <w:pPr>
        <w:pStyle w:val="ListParagraph"/>
        <w:numPr>
          <w:ilvl w:val="0"/>
          <w:numId w:val="5"/>
        </w:numPr>
        <w:spacing w:after="90" w:line="290"/>
      </w:pPr>
      <w:r>
        <w:rPr>
          <w:rFonts w:ascii="Times New Roman" w:cs="Times New Roman" w:eastAsia="Times New Roman" w:hAnsi="Times New Roman"/>
          <w:sz w:val="24"/>
          <w:szCs w:val="24"/>
        </w:rPr>
        <w:t xml:space="preserve">Bird, S., Klein, E., &amp; Loper, E. Natural Language Processing with Python. NLTK Project official documentation.</w:t>
      </w:r>
    </w:p>
    <w:p>
      <w:pPr>
        <w:pStyle w:val="ListParagraph"/>
        <w:numPr>
          <w:ilvl w:val="0"/>
          <w:numId w:val="5"/>
        </w:numPr>
        <w:spacing w:after="90" w:line="290"/>
      </w:pPr>
      <w:r>
        <w:rPr>
          <w:rFonts w:ascii="Times New Roman" w:cs="Times New Roman" w:eastAsia="Times New Roman" w:hAnsi="Times New Roman"/>
          <w:sz w:val="24"/>
          <w:szCs w:val="24"/>
        </w:rPr>
        <w:t xml:space="preserve">Reimers, N., &amp; Gurevych, I. Sentence-BERT: Sentence Embeddings using Siamese BERT-Networks. Sentence-Transformers project documentation.</w:t>
      </w:r>
    </w:p>
    <w:p>
      <w:pPr>
        <w:pStyle w:val="ListParagraph"/>
        <w:numPr>
          <w:ilvl w:val="0"/>
          <w:numId w:val="5"/>
        </w:numPr>
        <w:spacing w:after="90" w:line="290"/>
      </w:pPr>
      <w:r>
        <w:rPr>
          <w:rFonts w:ascii="Times New Roman" w:cs="Times New Roman" w:eastAsia="Times New Roman" w:hAnsi="Times New Roman"/>
          <w:sz w:val="24"/>
          <w:szCs w:val="24"/>
        </w:rPr>
        <w:t xml:space="preserve">Pedregosa, F., et al. Scikit-learn: Machine Learning in Python. Journal of Machine Learning Research — TF–IDF and cosine-similarity reference documentation.</w:t>
      </w:r>
    </w:p>
    <w:p>
      <w:pPr>
        <w:pStyle w:val="ListParagraph"/>
        <w:numPr>
          <w:ilvl w:val="0"/>
          <w:numId w:val="5"/>
        </w:numPr>
        <w:spacing w:after="90" w:line="290"/>
      </w:pPr>
      <w:r>
        <w:rPr>
          <w:rFonts w:ascii="Times New Roman" w:cs="Times New Roman" w:eastAsia="Times New Roman" w:hAnsi="Times New Roman"/>
          <w:sz w:val="24"/>
          <w:szCs w:val="24"/>
        </w:rPr>
        <w:t xml:space="preserve">FastAPI Official Documentation — Python web-framework reference for building REST APIs.</w:t>
      </w:r>
    </w:p>
    <w:p>
      <w:pPr>
        <w:pStyle w:val="ListParagraph"/>
        <w:numPr>
          <w:ilvl w:val="0"/>
          <w:numId w:val="5"/>
        </w:numPr>
        <w:spacing w:after="90" w:line="290"/>
      </w:pPr>
      <w:r>
        <w:rPr>
          <w:rFonts w:ascii="Times New Roman" w:cs="Times New Roman" w:eastAsia="Times New Roman" w:hAnsi="Times New Roman"/>
          <w:sz w:val="24"/>
          <w:szCs w:val="24"/>
        </w:rPr>
        <w:t xml:space="preserve">Python Software Foundation. The Python Language Reference and Standard Library Documentation.</w:t>
      </w:r>
    </w:p>
    <w:p>
      <w:pPr>
        <w:pStyle w:val="ListParagraph"/>
        <w:numPr>
          <w:ilvl w:val="0"/>
          <w:numId w:val="5"/>
        </w:numPr>
        <w:spacing w:after="90" w:line="290"/>
      </w:pPr>
      <w:r>
        <w:rPr>
          <w:rFonts w:ascii="Times New Roman" w:cs="Times New Roman" w:eastAsia="Times New Roman" w:hAnsi="Times New Roman"/>
          <w:sz w:val="24"/>
          <w:szCs w:val="24"/>
        </w:rPr>
        <w:t xml:space="preserve">SQLite Consortium. SQLite Documentation — embedded relational database engine.</w:t>
      </w:r>
    </w:p>
    <w:p>
      <w:pPr>
        <w:pStyle w:val="ListParagraph"/>
        <w:numPr>
          <w:ilvl w:val="0"/>
          <w:numId w:val="5"/>
        </w:numPr>
        <w:spacing w:after="90" w:line="290"/>
      </w:pPr>
      <w:r>
        <w:rPr>
          <w:rFonts w:ascii="Times New Roman" w:cs="Times New Roman" w:eastAsia="Times New Roman" w:hAnsi="Times New Roman"/>
          <w:sz w:val="24"/>
          <w:szCs w:val="24"/>
        </w:rPr>
        <w:t xml:space="preserve">Wolf, T., et al. Transformers: State-of-the-Art Natural Language Processing. Hugging Face documentation and model hub.</w:t>
      </w:r>
    </w:p>
    <w:p>
      <w:pPr>
        <w:pStyle w:val="ListParagraph"/>
        <w:numPr>
          <w:ilvl w:val="0"/>
          <w:numId w:val="5"/>
        </w:numPr>
        <w:spacing w:after="90" w:line="290"/>
      </w:pPr>
      <w:r>
        <w:rPr>
          <w:rFonts w:ascii="Times New Roman" w:cs="Times New Roman" w:eastAsia="Times New Roman" w:hAnsi="Times New Roman"/>
          <w:sz w:val="24"/>
          <w:szCs w:val="24"/>
        </w:rPr>
        <w:t xml:space="preserve">Hutto, C.J., &amp; Gilbert, E. VADER: A Parsimonious Rule-Based Model for Sentiment Analysis of Social Media Text. Association for the Advancement of Artificial Intelligence (AAAI).</w:t>
      </w:r>
    </w:p>
    <w:p>
      <w:pPr>
        <w:pStyle w:val="ListParagraph"/>
        <w:numPr>
          <w:ilvl w:val="0"/>
          <w:numId w:val="5"/>
        </w:numPr>
        <w:spacing w:after="90" w:line="290"/>
      </w:pPr>
      <w:r>
        <w:rPr>
          <w:rFonts w:ascii="Times New Roman" w:cs="Times New Roman" w:eastAsia="Times New Roman" w:hAnsi="Times New Roman"/>
          <w:sz w:val="24"/>
          <w:szCs w:val="24"/>
        </w:rPr>
        <w:t xml:space="preserve">Karpukhin, V., et al. Dense Passage Retrieval for Open-Domain Question Answering. Empirical Methods in Natural Language Processing (EMNLP) — background reference on dense retrieval.</w:t>
      </w:r>
    </w:p>
    <w:p>
      <w:pPr>
        <w:pStyle w:val="ListParagraph"/>
        <w:numPr>
          <w:ilvl w:val="0"/>
          <w:numId w:val="5"/>
        </w:numPr>
        <w:spacing w:after="90" w:line="290"/>
      </w:pPr>
      <w:r>
        <w:rPr>
          <w:rFonts w:ascii="Times New Roman" w:cs="Times New Roman" w:eastAsia="Times New Roman" w:hAnsi="Times New Roman"/>
          <w:sz w:val="24"/>
          <w:szCs w:val="24"/>
        </w:rPr>
        <w:t xml:space="preserve">Robertson, S., &amp; Zaragoza, H. The Probabilistic Relevance Framework: BM25 and Beyond. Foundations and Trends in Information Retrieval — background reference on sparse lexical retrieval.</w:t>
      </w:r>
    </w:p>
    <w:p>
      <w:pPr>
        <w:spacing w:after="160" w:line="300"/>
        <w:jc w:val="both"/>
      </w:pPr>
      <w:r>
        <w:rPr>
          <w:rFonts w:ascii="Times New Roman" w:cs="Times New Roman" w:eastAsia="Times New Roman" w:hAnsi="Times New Roman"/>
          <w:sz w:val="24"/>
          <w:szCs w:val="24"/>
        </w:rPr>
        <w:t xml:space="preserve"/>
      </w:r>
    </w:p>
    <w:p>
      <w:pPr>
        <w:spacing w:after="160" w:line="300"/>
        <w:jc w:val="both"/>
      </w:pPr>
      <w:r>
        <w:rPr>
          <w:rFonts w:ascii="Times New Roman" w:cs="Times New Roman" w:eastAsia="Times New Roman" w:hAnsi="Times New Roman"/>
          <w:i/>
          <w:iCs/>
          <w:color w:val="595959"/>
          <w:sz w:val="24"/>
          <w:szCs w:val="24"/>
        </w:rPr>
        <w:t xml:space="preserve">Note: The project-specific technical facts presented in this report are derived from the supplied project README / repository description and the uploaded internship-completion certificate. Where the source materials did not specify a detail — including quantitative benchmarks, organisational history, or communication records — no such detail has been invented; the corresponding limitation is instead noted explicitly in Chapter 9.</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ApexSupport AI — Internship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ApexSupport AI —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7b55e50012337ba75366767dd86aab7eb9dfbd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ApexSupport AI — Internship Report</dc:title>
  <dc:creator>Ayush Dixit</dc:creator>
  <cp:lastModifiedBy>Un-named</cp:lastModifiedBy>
  <cp:revision>1</cp:revision>
  <dcterms:created xsi:type="dcterms:W3CDTF">2026-09-09T07:57:29.077Z</dcterms:created>
  <dcterms:modified xsi:type="dcterms:W3CDTF">2026-09-09T07:57:29.078Z</dcterms:modified>
</cp:coreProperties>
</file>

<file path=docProps/custom.xml><?xml version="1.0" encoding="utf-8"?>
<Properties xmlns="http://schemas.openxmlformats.org/officeDocument/2006/custom-properties" xmlns:vt="http://schemas.openxmlformats.org/officeDocument/2006/docPropsVTypes"/>
</file>