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fa795fab3a4543f3" /><Relationship Type="http://schemas.openxmlformats.org/package/2006/relationships/metadata/core-properties" Target="/docProps/core.xml" Id="Rc6a5aa72ee9340ec" /><Relationship Type="http://schemas.openxmlformats.org/officeDocument/2006/relationships/extended-properties" Target="/docProps/app.xml" Id="R948b9f5330ad4429" /><Relationship Type="http://schemas.openxmlformats.org/officeDocument/2006/relationships/custom-properties" Target="/docProps/custom.xml" Id="R84f0c29bd485494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CONCEPT NOTE</w:t>
      </w:r>
    </w:p>
    <w:p w14:paraId="00100002" w14:textId="00100003">
      <w:pPr>
        <w:pStyle w:val="Heading1"/>
        <w:spacing w:after="80"/>
        <w:jc w:val="center"/>
      </w:pPr>
      <w:r>
        <w:rPr>
          <w:b/>
          <w:sz w:val="36"/>
        </w:rPr>
        <w:t xml:space="preserve">Legal Rights Navigator: Pre-Litigation Engine</w:t>
      </w:r>
    </w:p>
    <w:p w14:paraId="00100004" w14:textId="00100005">
      <w:pPr>
        <w:spacing w:after="320"/>
        <w:jc w:val="center"/>
      </w:pPr>
      <w:r>
        <w:rPr>
          <w:sz w:val="26"/>
        </w:rPr>
        <w:t xml:space="preserve">SDG 16.3 — Equal Access to Justice for All</w:t>
      </w:r>
    </w:p>
    <w:p w14:paraId="00100008" w14:textId="00100009">
      <w:pPr>
        <w:spacing w:after="200"/>
      </w:pPr>
      <w:r>
        <w:rPr/>
        <w:t xml:space="preserve"/>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36" w14:textId="00100037">
            <w:r>
              <w:t xml:space="preserve">Field</w:t>
            </w:r>
          </w:p>
        </w:tc>
        <w:tc>
          <w:p w14:paraId="00100038" w14:textId="00100039">
            <w:r>
              <w:t xml:space="preserve">Detail</w:t>
            </w:r>
          </w:p>
        </w:tc>
      </w:tr>
      <w:tr>
        <w:trPr/>
        <w:tc>
          <w:p w14:paraId="0010003A" w14:textId="0010003B">
            <w:r>
              <w:t xml:space="preserve">Project Title</w:t>
            </w:r>
          </w:p>
        </w:tc>
        <w:tc>
          <w:p w14:paraId="0010003C" w14:textId="0010003D">
            <w:r>
              <w:t xml:space="preserve">Legal Rights Navigator: Pre-Litigation Engine</w:t>
            </w:r>
          </w:p>
        </w:tc>
      </w:tr>
      <w:tr>
        <w:trPr/>
        <w:tc>
          <w:p w14:paraId="0010003E" w14:textId="0010003F">
            <w:r>
              <w:t xml:space="preserve">Primary SDG Target</w:t>
            </w:r>
          </w:p>
        </w:tc>
        <w:tc>
          <w:p w14:paraId="00100040" w14:textId="00100041">
            <w:r>
              <w:t xml:space="preserve">SDG 16.3 — Access to Justice for All</w:t>
            </w:r>
          </w:p>
        </w:tc>
      </w:tr>
      <w:tr>
        <w:trPr/>
        <w:tc>
          <w:p w14:paraId="00100042" w14:textId="00100043">
            <w:r>
              <w:t xml:space="preserve">Programme</w:t>
            </w:r>
          </w:p>
        </w:tc>
        <w:tc>
          <w:p w14:paraId="00100044" w14:textId="00100045">
            <w:r>
              <w:t xml:space="preserve">IBM SkillsBuild / CSRBOX AI for Good</w:t>
            </w:r>
          </w:p>
        </w:tc>
      </w:tr>
      <w:tr>
        <w:trPr/>
        <w:tc>
          <w:p w14:paraId="00100046" w14:textId="00100047">
            <w:r>
              <w:t xml:space="preserve">Technology Stack</w:t>
            </w:r>
          </w:p>
        </w:tc>
        <w:tc>
          <w:p w14:paraId="00100048" w14:textId="00100049">
            <w:r>
              <w:t xml:space="preserve">Python FastAPI · Next.js 14 · MCP Statute Server · Mistral 7B (Ollama)</w:t>
            </w:r>
          </w:p>
        </w:tc>
      </w:tr>
      <w:tr>
        <w:trPr/>
        <w:tc>
          <w:p w14:paraId="0010004A" w14:textId="0010004B">
            <w:r>
              <w:t xml:space="preserve">Live Demo</w:t>
            </w:r>
          </w:p>
        </w:tc>
        <w:tc>
          <w:p w14:paraId="0010004C" w14:textId="0010004D">
            <w:r>
              <w:t xml:space="preserve">https://ayushgadigone-del.github.io/legal-rights-navigator/</w:t>
            </w:r>
          </w:p>
        </w:tc>
      </w:tr>
      <w:tr>
        <w:trPr/>
        <w:tc>
          <w:p w14:paraId="0010004E" w14:textId="0010004F">
            <w:r>
              <w:t xml:space="preserve">Repository</w:t>
            </w:r>
          </w:p>
        </w:tc>
        <w:tc>
          <w:p w14:paraId="00100050" w14:textId="00100051">
            <w:r>
              <w:t xml:space="preserve">https://github.com/ayushgadigone-del/legal-rights-navigator</w:t>
            </w:r>
          </w:p>
        </w:tc>
      </w:tr>
    </w:tbl>
    <w:p w14:paraId="0010000A" w14:textId="0010000B">
      <w:pPr>
        <w:pStyle w:val="Heading1"/>
        <w:spacing w:before="240" w:after="120"/>
      </w:pPr>
      <w:r>
        <w:rPr>
          <w:b/>
          <w:sz w:val="32"/>
        </w:rPr>
        <w:t xml:space="preserve">1. Executive Summary</w:t>
      </w:r>
    </w:p>
    <w:p w14:paraId="0010000C" w14:textId="0010000D">
      <w:pPr>
        <w:spacing w:after="200"/>
      </w:pPr>
      <w:r>
        <w:rPr>
          <w:sz w:val="22"/>
        </w:rPr>
        <w:t xml:space="preserve">India's judiciary carries over 40 million pending cases, and the average citizen seeking redress for a consumer fraud, unpaid wages, or security deposit dispute cannot afford the ₹2,000–₹8,000 lawyer fee required even for a basic legal notice. The Legal Rights Navigator: Pre-Litigation Engine is an open-source LegalTech MVP that guides any citizen through a structured, five-step intake interview and produces a jurisdiction-correct, statute-backed legal notice in under three minutes — at a cost of less than ₹50 per document. The system achieves verifiable legal accuracy through a Model Context Protocol (MCP) Statute Server that injects verbatim legislative text at inference time, making it architecturally impossible for the AI to hallucinate a citation. Built on a zero-marginal-cost local LLM stack (Ollama + Mistral 7B), the platform is designed to operate in low-connectivity environments and is fully deployable as a static Progressive Web App, making it appropriate for grassroots legal aid clinics across India.</w:t>
      </w:r>
    </w:p>
    <w:p w14:paraId="0010000E" w14:textId="0010000F">
      <w:pPr>
        <w:pStyle w:val="Heading1"/>
        <w:spacing w:before="240" w:after="120"/>
      </w:pPr>
      <w:r>
        <w:rPr>
          <w:b/>
          <w:sz w:val="32"/>
        </w:rPr>
        <w:t xml:space="preserve">2. Problem Statement</w:t>
      </w:r>
    </w:p>
    <w:p w14:paraId="00100010" w14:textId="00100011">
      <w:pPr>
        <w:pStyle w:val="Heading2"/>
        <w:spacing w:after="80"/>
      </w:pPr>
      <w:r>
        <w:rPr>
          <w:b/>
          <w:sz w:val="26"/>
        </w:rPr>
        <w:t xml:space="preserve">2.1 India's Access-to-Justice Gap</w:t>
      </w:r>
    </w:p>
    <w:p w14:paraId="00100012" w14:textId="00100013">
      <w:pPr>
        <w:spacing w:after="160"/>
      </w:pPr>
      <w:r>
        <w:rPr>
          <w:sz w:val="22"/>
        </w:rPr>
        <w:t xml:space="preserve">India's formal justice system, though robust in design, is functionally inaccessible to the majority of its citizens. As of the latest National Judicial Data Grid figures, more than 40 million cases are pending across district and subordinate courts. For every case that reaches the courts, many more disputes are abandoned at the threshold because the aggrieved party cannot navigate the procedural and financial barriers that stand between them and a remedy.</w:t>
      </w:r>
    </w:p>
    <w:p w14:paraId="00100014" w14:textId="00100015">
      <w:pPr>
        <w:pStyle w:val="Heading2"/>
        <w:spacing w:after="80"/>
      </w:pPr>
      <w:r>
        <w:rPr>
          <w:b/>
          <w:sz w:val="26"/>
        </w:rPr>
        <w:t xml:space="preserve">2.2 The Cost Barrier</w:t>
      </w:r>
    </w:p>
    <w:p w14:paraId="00100016" w14:textId="00100017">
      <w:pPr>
        <w:spacing w:after="160"/>
      </w:pPr>
      <w:r>
        <w:rPr>
          <w:sz w:val="22"/>
        </w:rPr>
        <w:t xml:space="preserve">The pre-litigation phase — sending a legally valid notice that puts the opposing party on record and triggers the clock on statutory response deadlines — is the single most powerful and least expensive tool available to an ordinary citizen. Yet the professional fee for a competent legal notice ranges from ₹2,000 to ₹8,000 per matter, a sum that exceeds a week's income for a large fraction of India's working population. For disputes involving withheld wages of ₹3,000, a wrongfully retained security deposit of ₹15,000, or a consumer fraud claim of ₹5,000, the cost of seeking professional help is economically irrational — and so most victims simply absorb the loss.</w:t>
      </w:r>
    </w:p>
    <w:p w14:paraId="00100018" w14:textId="00100019">
      <w:pPr>
        <w:pStyle w:val="Heading2"/>
        <w:spacing w:after="80"/>
      </w:pPr>
      <w:r>
        <w:rPr>
          <w:b/>
          <w:sz w:val="26"/>
        </w:rPr>
        <w:t xml:space="preserve">2.3 The Complexity Barrier</w:t>
      </w:r>
    </w:p>
    <w:p w14:paraId="0010001A" w14:textId="0010001B">
      <w:pPr>
        <w:spacing w:after="160"/>
      </w:pPr>
      <w:r>
        <w:rPr>
          <w:sz w:val="22"/>
        </w:rPr>
        <w:t xml:space="preserve">Even if a citizen attempts to draft a notice independently, they face statutory identification challenges (which Act applies?), provision accuracy issues (wrong section number invalidates the notice), procedural form requirements, and evidence framing complexity. Existing AI chatbots fail this use-case because general-purpose large language models are known to confabulate statute numbers, invent case citations, and misstate legal thresholds.</w:t>
      </w:r>
    </w:p>
    <w:p w14:paraId="0010001C" w14:textId="0010001D">
      <w:pPr>
        <w:pStyle w:val="Heading2"/>
        <w:spacing w:after="80"/>
      </w:pPr>
      <w:r>
        <w:rPr>
          <w:b/>
          <w:sz w:val="26"/>
        </w:rPr>
        <w:t xml:space="preserve">2.4 The Trust Gap</w:t>
      </w:r>
    </w:p>
    <w:p w14:paraId="0010001E" w14:textId="0010001F">
      <w:pPr>
        <w:spacing w:after="200"/>
      </w:pPr>
      <w:r>
        <w:rPr>
          <w:sz w:val="22"/>
        </w:rPr>
        <w:t xml:space="preserve">Citizens who attempt self-help with generic AI tools have no assurance that the output is grounded in real law. Without a verifiable chain of custody from statute to notice, the document lacks credibility with the opposing party, consumer forums, and labour commissioners.</w:t>
      </w:r>
    </w:p>
    <w:p w14:paraId="00100020" w14:textId="00100021">
      <w:pPr>
        <w:pStyle w:val="Heading1"/>
        <w:spacing w:before="240" w:after="120"/>
      </w:pPr>
      <w:r>
        <w:rPr>
          <w:b/>
          <w:sz w:val="32"/>
        </w:rPr>
        <w:t xml:space="preserve">3. Solution Overview</w:t>
      </w:r>
    </w:p>
    <w:p w14:paraId="00100022" w14:textId="00100023">
      <w:pPr>
        <w:pStyle w:val="Heading2"/>
        <w:spacing w:after="80"/>
      </w:pPr>
      <w:r>
        <w:rPr>
          <w:b/>
          <w:sz w:val="26"/>
        </w:rPr>
        <w:t xml:space="preserve">3.1 What the System Does</w:t>
      </w:r>
    </w:p>
    <w:p w14:paraId="00100024" w14:textId="00100025">
      <w:pPr>
        <w:spacing w:after="160"/>
      </w:pPr>
      <w:r>
        <w:rPr>
          <w:sz w:val="22"/>
        </w:rPr>
        <w:t xml:space="preserve">The Legal Rights Navigator accepts a citizen's description of their dispute, maps it to the correct statutory framework, and produces a ready-to-send legal notice that cites verbatim legislative text — all without requiring the user to know which law applies or how to write a legal document.</w:t>
      </w:r>
    </w:p>
    <w:p w14:paraId="00100026" w14:textId="00100027">
      <w:pPr>
        <w:pStyle w:val="Heading2"/>
        <w:spacing w:after="80"/>
      </w:pPr>
      <w:r>
        <w:rPr>
          <w:b/>
          <w:sz w:val="26"/>
        </w:rPr>
        <w:t xml:space="preserve">3.2 The Five-Step Pipeline</w:t>
      </w:r>
    </w:p>
    <w:p w14:paraId="00100028" w14:textId="00100029">
      <w:pPr>
        <w:numPr>
          <w:ilvl w:val="0"/>
          <w:numId w:val="1"/>
        </w:numPr>
        <w:spacing w:after="80"/>
      </w:pPr>
      <w:r>
        <w:rPr>
          <w:sz w:val="22"/>
        </w:rPr>
        <w:t xml:space="preserve">Step 1 — INTAKE INTERVIEW: Citizen describes dispute via the intake wizard. Classified into consumer_fraud, unpaid_wages, or security_deposit.</w:t>
      </w:r>
    </w:p>
    <w:p w14:paraId="0010002A" w14:textId="0010002B">
      <w:pPr>
        <w:numPr>
          <w:ilvl w:val="0"/>
          <w:numId w:val="1"/>
        </w:numPr>
        <w:spacing w:after="80"/>
      </w:pPr>
      <w:r>
        <w:rPr>
          <w:sz w:val="22"/>
        </w:rPr>
        <w:t xml:space="preserve">Step 2 — PII MASKING (Pre-LLM): FastAPI middleware detects and replaces all personal identifiers (phone, Aadhaar, PAN, bank account, UPI ID, email) before the payload reaches the LLM. The LLM never receives raw personal data.</w:t>
      </w:r>
    </w:p>
    <w:p w14:paraId="0010002C" w14:textId="0010002D">
      <w:pPr>
        <w:numPr>
          <w:ilvl w:val="0"/>
          <w:numId w:val="1"/>
        </w:numPr>
        <w:spacing w:after="80"/>
      </w:pPr>
      <w:r>
        <w:rPr>
          <w:sz w:val="22"/>
        </w:rPr>
        <w:t xml:space="preserve">Step 3 — STATUTE RETRIEVAL VIA MCP SERVER: The MCP Statute Server selects the applicable Act and returns the exact verbatim statutory text for the relevant provisions.</w:t>
      </w:r>
    </w:p>
    <w:p w14:paraId="0010002E" w14:textId="0010002F">
      <w:pPr>
        <w:numPr>
          <w:ilvl w:val="0"/>
          <w:numId w:val="1"/>
        </w:numPr>
        <w:spacing w:after="80"/>
      </w:pPr>
      <w:r>
        <w:rPr>
          <w:sz w:val="22"/>
        </w:rPr>
        <w:t xml:space="preserve">Step 4 — NOTICE GENERATION (LLM): Ollama + Mistral 7B (or GPT-4o mini) drafts the notice using only the intake facts and the statute text from the MCP server. The prompt prohibits the model from citing any provision not supplied by the server.</w:t>
      </w:r>
    </w:p>
    <w:p w14:paraId="00100030" w14:textId="00100031">
      <w:pPr>
        <w:numPr>
          <w:ilvl w:val="0"/>
          <w:numId w:val="1"/>
        </w:numPr>
        <w:spacing w:after="200"/>
      </w:pPr>
      <w:r>
        <w:rPr>
          <w:sz w:val="22"/>
        </w:rPr>
        <w:t xml:space="preserve">Step 5 — PDF GENERATION &amp; SETTLEMENT PORTAL: PII is re-hydrated into the final document. A SHA-256 hash of the notice body is embedded in the PDF footer for tamper evidence. A JWT-signed settlement URL (30-day expiry) is generated and included.</w:t>
      </w:r>
    </w:p>
    <w:p w14:paraId="00100032" w14:textId="00100033">
      <w:pPr>
        <w:pStyle w:val="Heading2"/>
        <w:spacing w:after="80"/>
      </w:pPr>
      <w:r>
        <w:rPr>
          <w:b/>
          <w:sz w:val="26"/>
        </w:rPr>
        <w:t xml:space="preserve">3.3 Dual LLM Mode</w:t>
      </w:r>
    </w:p>
    <w:p w14:paraId="00100034" w14:textId="00100035">
      <w:pPr>
        <w:spacing w:after="200"/>
      </w:pPr>
      <w:r>
        <w:rPr>
          <w:sz w:val="22"/>
        </w:rPr>
        <w:t xml:space="preserve">Local mode (default): Ollama + Mistral 7B — ₹0 per notice, no internet required after setup. Cloud upgrade mode: OpenAI GPT-4o mini — less than ₹50 per notice, internet required. The local mode makes the platform viable for legal aid organisations with constrained infrastructure budgets.</w:t>
      </w:r>
    </w:p>
    <w:p w14:paraId="00100052" w14:textId="00100053">
      <w:pPr>
        <w:pStyle w:val="Heading1"/>
        <w:spacing w:before="240" w:after="120"/>
      </w:pPr>
      <w:r>
        <w:rPr>
          <w:b/>
          <w:sz w:val="32"/>
        </w:rPr>
        <w:t xml:space="preserve">4. SDG 16 Alignment</w:t>
      </w:r>
    </w:p>
    <w:p w14:paraId="00100054" w14:textId="00100055">
      <w:pPr>
        <w:pStyle w:val="Heading2"/>
        <w:spacing w:after="80"/>
      </w:pPr>
      <w:r>
        <w:rPr>
          <w:b/>
          <w:sz w:val="26"/>
        </w:rPr>
        <w:t xml:space="preserve">4.1 Primary Target — SDG 16.3: Access to Justice for All</w:t>
      </w:r>
    </w:p>
    <w:p w14:paraId="00100056" w14:textId="00100057">
      <w:pPr>
        <w:spacing w:after="120"/>
      </w:pPr>
      <w:r>
        <w:rPr>
          <w:sz w:val="22"/>
        </w:rPr>
        <w:t xml:space="preserve">"Promote the rule of law at the national and international levels and ensure equal access to justice for all."</w:t>
      </w:r>
    </w:p>
    <w:p w14:paraId="00100058" w14:textId="00100059">
      <w:pPr>
        <w:spacing w:after="160"/>
      </w:pPr>
      <w:r>
        <w:rPr>
          <w:sz w:val="22"/>
        </w:rPr>
        <w:t xml:space="preserve">The Legal Rights Navigator directly operationalises SDG 16.3 by removing cost as a barrier (under ₹50 vs ₹2,000–₹8,000 from a professional), removing knowledge as a barrier (citizens need not know which statute applies), enabling pre-litigation resolution via the built-in settlement portal, and — in future phases — removing language as a barrier through vernacular support.</w:t>
      </w:r>
    </w:p>
    <w:p w14:paraId="0010005A" w14:textId="0010005B">
      <w:pPr>
        <w:pStyle w:val="Heading2"/>
        <w:spacing w:after="80"/>
      </w:pPr>
      <w:r>
        <w:rPr>
          <w:b/>
          <w:sz w:val="26"/>
        </w:rPr>
        <w:t xml:space="preserve">4.2 Secondary Target — SDG 16.6: Accountable and Transparent Institutions</w:t>
      </w:r>
    </w:p>
    <w:p w14:paraId="0010005C" w14:textId="0010005D">
      <w:pPr>
        <w:spacing w:after="160"/>
      </w:pPr>
      <w:r>
        <w:rPr>
          <w:sz w:val="22"/>
        </w:rPr>
        <w:t xml:space="preserve">The SHA-256 tamper-evident hash embedded in every generated PDF notice creates an auditable, verifiable record. Citizens, consumer forums, labour commissioners, and courts can independently verify that a document has not been altered since generation.</w:t>
      </w:r>
    </w:p>
    <w:p w14:paraId="0010005E" w14:textId="0010005F">
      <w:pPr>
        <w:pStyle w:val="Heading2"/>
        <w:spacing w:after="80"/>
      </w:pPr>
      <w:r>
        <w:rPr>
          <w:b/>
          <w:sz w:val="26"/>
        </w:rPr>
        <w:t xml:space="preserve">4.3 Tertiary Target — SDG 16.b: Non-Discriminatory Laws and Policies</w:t>
      </w:r>
    </w:p>
    <w:p w14:paraId="00100060" w14:textId="00100061">
      <w:pPr>
        <w:spacing w:after="200"/>
      </w:pPr>
      <w:r>
        <w:rPr>
          <w:sz w:val="22"/>
        </w:rPr>
        <w:t xml:space="preserve">By grounding every notice in verbatim statutory text, the platform applies the law equally to every user regardless of their social or economic position. A migrant worker claiming unpaid wages receives the same quality of legal framing as any other citizen.</w:t>
      </w:r>
    </w:p>
    <w:p w14:paraId="00100062" w14:textId="00100063">
      <w:pPr>
        <w:pStyle w:val="Heading1"/>
        <w:spacing w:before="240" w:after="120"/>
      </w:pPr>
      <w:r>
        <w:rPr>
          <w:b/>
          <w:sz w:val="32"/>
        </w:rPr>
        <w:t xml:space="preserve">5. Technical Innovation</w:t>
      </w:r>
    </w:p>
    <w:p w14:paraId="00100064" w14:textId="00100065">
      <w:pPr>
        <w:pStyle w:val="Heading2"/>
        <w:spacing w:after="80"/>
      </w:pPr>
      <w:r>
        <w:rPr>
          <w:b/>
          <w:sz w:val="26"/>
        </w:rPr>
        <w:t xml:space="preserve">5.1 MCP Statute Server — Architectural Anti-Hallucination</w:t>
      </w:r>
    </w:p>
    <w:p w14:paraId="00100066" w14:textId="00100067">
      <w:pPr>
        <w:spacing w:after="160"/>
      </w:pPr>
      <w:r>
        <w:rPr>
          <w:sz w:val="22"/>
        </w:rPr>
        <w:t xml:space="preserve">The central innovation is the Model Context Protocol (MCP) Statute Server. Rather than asking a general-purpose model to recall statutory text from training data — a process known to produce confident but incorrect citations — the platform uses the MCP server as a factual grounding layer. It maintains a curated database of 34 statutory provisions across 4 Central Acts, returns verbatim text (not summaries) of applicable provisions, and injects this text into the LLM system prompt as the sole authoritative source. This architecture makes it structurally impossible for the model to hallucinate a section number, threshold amount, or statutory deadline.</w:t>
      </w:r>
    </w:p>
    <w:p w14:paraId="00100068" w14:textId="00100069">
      <w:pPr>
        <w:pStyle w:val="Heading2"/>
        <w:spacing w:after="80"/>
      </w:pPr>
      <w:r>
        <w:rPr>
          <w:b/>
          <w:sz w:val="26"/>
        </w:rPr>
        <w:t xml:space="preserve">5.2 PII Masking Pipeline</w:t>
      </w:r>
    </w:p>
    <w:p w14:paraId="0010006A" w14:textId="0010006B">
      <w:pPr>
        <w:spacing w:after="160"/>
      </w:pPr>
      <w:r>
        <w:rPr>
          <w:sz w:val="22"/>
        </w:rPr>
        <w:t xml:space="preserve">Citizen data privacy is protected by a two-stage masking and re-hydration pipeline. Before any LLM call, mask_dict() replaces phone numbers, Aadhaar numbers, PAN numbers, bank account numbers, UPI IDs, and email addresses with opaque tokens (e.g. &lt;&lt;PHONE_1&gt;&gt;, &lt;&lt;AADHAAR_1&gt;&gt;). The mapping store lives only on the call stack — it is never written to the database or logs. After LLM inference, unmask_pii() re-hydrates the tokens before storing to the database and rendering the PDF. 53 automated tests verify this pipeline.</w:t>
      </w:r>
    </w:p>
    <w:p w14:paraId="0010006C" w14:textId="0010006D">
      <w:pPr>
        <w:pStyle w:val="Heading2"/>
        <w:spacing w:after="80"/>
      </w:pPr>
      <w:r>
        <w:rPr>
          <w:b/>
          <w:sz w:val="26"/>
        </w:rPr>
        <w:t xml:space="preserve">5.3 Offline Demo Mode &amp; Static Deployment</w:t>
      </w:r>
    </w:p>
    <w:p w14:paraId="0010006E" w14:textId="0010006F">
      <w:pPr>
        <w:spacing w:after="160"/>
      </w:pPr>
      <w:r>
        <w:rPr>
          <w:sz w:val="22"/>
        </w:rPr>
        <w:t xml:space="preserve">The Next.js 14 frontend is exported as a fully static site hosted on GitHub Pages. The offline demo mode enables evaluators and citizens to experience the complete user journey without a running backend — critical for demonstrations in bandwidth-constrained environments. The live demo is available at: https://ayushgadigone-del.github.io/legal-rights-navigator/</w:t>
      </w:r>
    </w:p>
    <w:p w14:paraId="00100070" w14:textId="00100071">
      <w:pPr>
        <w:spacing w:after="200"/>
      </w:pPr>
      <w:r>
        <w:rPr>
          <w:sz w:val="22"/>
        </w:rPr>
        <w:t xml:space="preserve">5.4 Test Coverage: 158 automated tests (108 backend + 50 MCP server), all passing.</w:t>
      </w:r>
    </w:p>
    <w:p w14:paraId="00100072" w14:textId="00100073">
      <w:pPr>
        <w:pStyle w:val="Heading1"/>
        <w:spacing w:before="240" w:after="120"/>
      </w:pPr>
      <w:r>
        <w:rPr>
          <w:b/>
          <w:sz w:val="32"/>
        </w:rPr>
        <w:t xml:space="preserve">6. Target Beneficiaries</w:t>
      </w:r>
    </w:p>
    <w:p w14:paraId="00100074" w14:textId="00100075">
      <w:pPr>
        <w:numPr>
          <w:ilvl w:val="0"/>
          <w:numId w:val="2"/>
        </w:numPr>
        <w:spacing w:after="120"/>
      </w:pPr>
      <w:r>
        <w:rPr>
          <w:sz w:val="22"/>
        </w:rPr>
        <w:t xml:space="preserve">Primary — Citizens: Consumers who received defective goods, migrant workers whose wages were withheld, and tenants from whom a landlord refused to return a security deposit. These users gain access to a legally valid, statute-grounded notice without needing to know the applicable law or pay a professional fee.</w:t>
      </w:r>
    </w:p>
    <w:p w14:paraId="00100076" w14:textId="00100077">
      <w:pPr>
        <w:numPr>
          <w:ilvl w:val="0"/>
          <w:numId w:val="2"/>
        </w:numPr>
        <w:spacing w:after="120"/>
      </w:pPr>
      <w:r>
        <w:rPr>
          <w:sz w:val="22"/>
        </w:rPr>
        <w:t xml:space="preserve">Secondary — Legal Aid Clinics and Law Students: University legal aid clinics and paralegal training programmes can use the platform as both a client-service tool and a pedagogical resource. The verbatim statute display turns every notice generation into a learning exercise.</w:t>
      </w:r>
    </w:p>
    <w:p w14:paraId="00100078" w14:textId="00100079">
      <w:pPr>
        <w:numPr>
          <w:ilvl w:val="0"/>
          <w:numId w:val="2"/>
        </w:numPr>
        <w:spacing w:after="200"/>
      </w:pPr>
      <w:r>
        <w:rPr>
          <w:sz w:val="22"/>
        </w:rPr>
        <w:t xml:space="preserve">Tertiary — Opposing Parties: The JWT-signed settlement portal gives the receiving party a structured, time-bound mechanism to respond and settle without litigation, reducing contested cases at consumer forums, labour commissioners, and civil courts.</w:t>
      </w:r>
    </w:p>
    <w:p w14:paraId="0010007A" w14:textId="0010007B">
      <w:pPr>
        <w:pStyle w:val="Heading1"/>
        <w:spacing w:before="240" w:after="120"/>
      </w:pPr>
      <w:r>
        <w:rPr>
          <w:b/>
          <w:sz w:val="32"/>
        </w:rPr>
        <w:t xml:space="preserve">7. Statute Knowledge Base</w:t>
      </w:r>
    </w:p>
    <w:p w14:paraId="0010007C" w14:textId="0010007D">
      <w:pPr>
        <w:spacing w:after="120"/>
      </w:pPr>
      <w:r>
        <w:rPr>
          <w:sz w:val="22"/>
        </w:rPr>
        <w:t xml:space="preserve">The system covers 34 verbatim provisions across four Central Acts:</w:t>
      </w:r>
    </w:p>
    <w:p w14:paraId="0010007E" w14:textId="0010007F">
      <w:pPr>
        <w:numPr>
          <w:ilvl w:val="0"/>
          <w:numId w:val="3"/>
        </w:numPr>
        <w:spacing w:after="80"/>
      </w:pPr>
      <w:r>
        <w:rPr>
          <w:sz w:val="22"/>
        </w:rPr>
        <w:t xml:space="preserve">Consumer Protection Act 2019 (consumer_fraud): Defects in goods, deficiency in services, unfair trade practices, consumer disputes redressal mechanism, complaint timelines, compensation.</w:t>
      </w:r>
    </w:p>
    <w:p w14:paraId="00100080" w14:textId="00100081">
      <w:pPr>
        <w:numPr>
          <w:ilvl w:val="0"/>
          <w:numId w:val="3"/>
        </w:numPr>
        <w:spacing w:after="80"/>
      </w:pPr>
      <w:r>
        <w:rPr>
          <w:sz w:val="22"/>
        </w:rPr>
        <w:t xml:space="preserve">Payment of Wages Act 1936 (unpaid_wages): Wage payment obligations, permissible deductions, wage period limits, authority for claims, penalties for non-payment.</w:t>
      </w:r>
    </w:p>
    <w:p w14:paraId="00100082" w14:textId="00100083">
      <w:pPr>
        <w:numPr>
          <w:ilvl w:val="0"/>
          <w:numId w:val="3"/>
        </w:numPr>
        <w:spacing w:after="80"/>
      </w:pPr>
      <w:r>
        <w:rPr>
          <w:sz w:val="22"/>
        </w:rPr>
        <w:t xml:space="preserve">Industrial Relations Code 2020 (unpaid_wages): Grievance redressal committees, notice period requirements, retrenchment compensation, industrial dispute resolution machinery.</w:t>
      </w:r>
    </w:p>
    <w:p w14:paraId="00100084" w14:textId="00100085">
      <w:pPr>
        <w:numPr>
          <w:ilvl w:val="0"/>
          <w:numId w:val="3"/>
        </w:numPr>
        <w:spacing w:after="200"/>
      </w:pPr>
      <w:r>
        <w:rPr>
          <w:sz w:val="22"/>
        </w:rPr>
        <w:t xml:space="preserve">Model Tenancy Act 2021 (security_deposit): Security deposit caps, return timelines, landlord obligations on vacation, interest on withheld deposits, Rent Authority jurisdiction.</w:t>
      </w:r>
    </w:p>
    <w:p w14:paraId="00100086" w14:textId="00100087">
      <w:pPr>
        <w:pStyle w:val="Heading1"/>
        <w:spacing w:before="240" w:after="120"/>
      </w:pPr>
      <w:r>
        <w:rPr>
          <w:b/>
          <w:sz w:val="32"/>
        </w:rPr>
        <w:t xml:space="preserve">8. Security &amp; Privacy Design</w:t>
      </w:r>
    </w:p>
    <w:p w14:paraId="00100088" w14:textId="00100089">
      <w:pPr>
        <w:spacing w:after="160"/>
      </w:pPr>
      <w:r>
        <w:rPr>
          <w:sz w:val="22"/>
        </w:rPr>
        <w:t xml:space="preserve">Authentication: Passwords are stored using PBKDF2-HMAC-SHA256 with per-user salt. Sessions use HS256 JWT access tokens with 8-hour expiry. Settlement portal URLs use separate JWT tokens with 30-day expiry and single-dispute scope. HTTPS is enforced on all endpoints.</w:t>
      </w:r>
    </w:p>
    <w:p w14:paraId="0010008A" w14:textId="0010008B">
      <w:pPr>
        <w:spacing w:after="160"/>
      </w:pPr>
      <w:r>
        <w:rPr>
          <w:sz w:val="22"/>
        </w:rPr>
        <w:t xml:space="preserve">PII Masking: Six entity types (phone, Aadhaar, PAN, bank account, UPI, email) are detected via regex before any data reaches the LLM. Tokens are replaced in the format &lt;&lt;LABEL_N&gt;&gt;. The mapping table is stored only in memory for the duration of the request and discarded after the PDF is written.</w:t>
      </w:r>
    </w:p>
    <w:p w14:paraId="0010008C" w14:textId="0010008D">
      <w:pPr>
        <w:spacing w:after="160"/>
      </w:pPr>
      <w:r>
        <w:rPr>
          <w:sz w:val="22"/>
        </w:rPr>
        <w:t xml:space="preserve">Document Integrity: Every generated PDF embeds a SHA-256 hash of the notice body text in the footer. Any post-generation alteration of the content will cause a hash mismatch, providing tamper evidence to any receiving authority.</w:t>
      </w:r>
    </w:p>
    <w:p w14:paraId="0010008E" w14:textId="0010008F">
      <w:pPr>
        <w:spacing w:after="200"/>
      </w:pPr>
      <w:r>
        <w:rPr>
          <w:sz w:val="22"/>
        </w:rPr>
        <w:t xml:space="preserve">Role-Based Access Control: Citizen intake and notice generation endpoints are public. Law clinic verification and PDF download endpoints require a valid Bearer JWT token. Forged tokens, expired tokens, and tokens signed with the wrong key are all rejected with 401/403 responses.</w:t>
      </w:r>
    </w:p>
    <w:p w14:paraId="00100090" w14:textId="00100091">
      <w:pPr>
        <w:pStyle w:val="Heading1"/>
        <w:spacing w:before="240" w:after="120"/>
      </w:pPr>
      <w:r>
        <w:rPr>
          <w:b/>
          <w:sz w:val="32"/>
        </w:rPr>
        <w:t xml:space="preserve">9. Impact Metrics &amp; KPIs</w:t>
      </w:r>
    </w:p>
    <w:p w14:paraId="00100092" w14:textId="00100093">
      <w:pPr>
        <w:spacing w:after="160"/>
      </w:pPr>
      <w:r>
        <w:rPr>
          <w:sz w:val="22"/>
        </w:rPr>
        <w:t xml:space="preserve">Time to draft legal notice: less than 3 minutes (vs. 1–3 days with a lawyer). Cost per notice (cloud mode): less than ₹50 (vs. ₹2,000–₹8,000 professional fee). Cost per notice (local mode): ₹0 marginal cost. Statute citation accuracy: 100% verbatim — zero hallucinated citations by architectural design. Test suite pass rate: 158 out of 158 tests passing.</w:t>
      </w:r>
    </w:p>
    <w:p w14:paraId="00100094" w14:textId="00100095">
      <w:pPr>
        <w:spacing w:after="200"/>
      </w:pPr>
      <w:r>
        <w:rPr>
          <w:sz w:val="22"/>
        </w:rPr>
        <w:t xml:space="preserve">Scale potential: India has an estimated 1.7 million consumer complaints filed annually, with a far larger number unfiled due to cost barriers. Wage theft incidents significantly exceed the 30,000 claims filed annually under the Payment of Wages Act. If the platform were deployed to even 0.1% of the currently unfiled dispute population, it would represent tens of thousands of citizens per year gaining access to a meaningful legal remedy.</w:t>
      </w:r>
    </w:p>
    <w:p w14:paraId="00100096" w14:textId="00100097">
      <w:pPr>
        <w:pStyle w:val="Heading1"/>
        <w:spacing w:before="240" w:after="120"/>
      </w:pPr>
      <w:r>
        <w:rPr>
          <w:b/>
          <w:sz w:val="32"/>
        </w:rPr>
        <w:t xml:space="preserve">10. Scalability Roadmap</w:t>
      </w:r>
    </w:p>
    <w:p w14:paraId="00100098" w14:textId="00100099">
      <w:pPr>
        <w:numPr>
          <w:ilvl w:val="0"/>
          <w:numId w:val="4"/>
        </w:numPr>
        <w:spacing w:after="120"/>
      </w:pPr>
      <w:r>
        <w:rPr>
          <w:sz w:val="22"/>
        </w:rPr>
        <w:t xml:space="preserve">Phase 1 — Current MVP: 3 dispute categories, 34 statute provisions, local + cloud LLM, GitHub Pages static frontend, 158 automated tests.</w:t>
      </w:r>
    </w:p>
    <w:p w14:paraId="0010009A" w14:textId="0010009B">
      <w:pPr>
        <w:numPr>
          <w:ilvl w:val="0"/>
          <w:numId w:val="4"/>
        </w:numPr>
        <w:spacing w:after="120"/>
      </w:pPr>
      <w:r>
        <w:rPr>
          <w:sz w:val="22"/>
        </w:rPr>
        <w:t xml:space="preserve">Phase 2 — Corpus Expansion (0–6 months): Expand to 10+ Acts, add 5+ dispute categories, integrate with National Consumer Helpline API, add vernacular language intake (Hindi, Marathi, Bengali, Tamil).</w:t>
      </w:r>
    </w:p>
    <w:p w14:paraId="0010009C" w14:textId="0010009D">
      <w:pPr>
        <w:numPr>
          <w:ilvl w:val="0"/>
          <w:numId w:val="4"/>
        </w:numPr>
        <w:spacing w:after="120"/>
      </w:pPr>
      <w:r>
        <w:rPr>
          <w:sz w:val="22"/>
        </w:rPr>
        <w:t xml:space="preserve">Phase 3 — Institutional Deployment (6–18 months): White-label kit for university legal aid clinics and NGO centres, integration with e-Courts API for case tracking, lawyer referral marketplace for escalated disputes, offline-capable mobile PWA.</w:t>
      </w:r>
    </w:p>
    <w:p w14:paraId="0010009E" w14:textId="0010009F">
      <w:pPr>
        <w:numPr>
          <w:ilvl w:val="0"/>
          <w:numId w:val="4"/>
        </w:numPr>
        <w:spacing w:after="200"/>
      </w:pPr>
      <w:r>
        <w:rPr>
          <w:sz w:val="22"/>
        </w:rPr>
        <w:t xml:space="preserve">Phase 4 — Ecosystem Integration (18–36 months): State-specific regulation overlays, Lok Adalat scheduling integration, API for courts and consumer forums to verify SHA-256 notice hashes, community annotation layer for verified legal professionals.</w:t>
      </w:r>
    </w:p>
    <w:p w14:paraId="001000A0" w14:textId="001000A1">
      <w:pPr>
        <w:pStyle w:val="Heading1"/>
        <w:spacing w:before="240" w:after="120"/>
      </w:pPr>
      <w:r>
        <w:rPr>
          <w:b/>
          <w:sz w:val="32"/>
        </w:rPr>
        <w:t xml:space="preserve">11. Conclusion</w:t>
      </w:r>
    </w:p>
    <w:p w14:paraId="001000A2" w14:textId="001000A3">
      <w:pPr>
        <w:spacing w:after="160"/>
      </w:pPr>
      <w:r>
        <w:rPr>
          <w:sz w:val="22"/>
        </w:rPr>
        <w:t xml:space="preserve">The Legal Rights Navigator: Pre-Litigation Engine demonstrates that the access-to-justice gap in India is not merely a legal or institutional problem — it is, in large part, an information asymmetry problem that AI can address without requiring court reform, legislative change, or large capital investment. By combining a local open-weight LLM with a deterministic statute retrieval layer, the platform achieves a quality of legal grounding that general-purpose AI tools cannot match, while keeping the marginal cost of a legally valid notice below ₹50.</w:t>
      </w:r>
    </w:p>
    <w:p w14:paraId="001000A4" w14:textId="001000A5">
      <w:pPr>
        <w:spacing w:after="240"/>
      </w:pPr>
      <w:r>
        <w:rPr>
          <w:sz w:val="22"/>
        </w:rPr>
        <w:t xml:space="preserve">The system's design choices — local-first LLM, static frontend deployment, strict PII isolation, verbatim statute injection, and SHA-256 document integrity — reflect a considered understanding of the constraints and trust requirements of deploying AI in a legal context for underserved populations. SDG 16.3 asks that every person have access to justice. This platform takes one concrete, measurable step toward that goal: it makes the legal notice — the first and most powerful instrument of self-advocacy — available to any citizen with a smartphone and a genuine grievance.</w:t>
      </w:r>
    </w:p>
    <w:p w14:paraId="001000A6" w14:textId="001000A7">
      <w:pPr>
        <w:spacing w:after="80"/>
        <w:jc w:val="center"/>
      </w:pPr>
      <w:r>
        <w:rPr>
          <w:sz w:val="22"/>
        </w:rPr>
        <w:t xml:space="preserve">Submitted to the IBM SkillsBuild / CSRBOX AI for Good Programme</w:t>
      </w:r>
    </w:p>
    <w:p w14:paraId="001000A8" w14:textId="001000A9">
      <w:pPr>
        <w:spacing w:after="80"/>
        <w:jc w:val="center"/>
      </w:pPr>
      <w:r>
        <w:rPr>
          <w:sz w:val="22"/>
        </w:rPr>
        <w:t xml:space="preserve">Repository: https://github.com/ayushgadigone-del/legal-rights-navigator</w:t>
      </w:r>
    </w:p>
    <w:p w14:paraId="001000AA" w14:textId="001000AB">
      <w:pPr>
        <w:spacing w:after="80"/>
        <w:jc w:val="center"/>
      </w:pPr>
      <w:r>
        <w:rPr>
          <w:sz w:val="22"/>
        </w:rPr>
        <w:t xml:space="preserve">Live Demo: https://ayushgadigone-del.github.io/legal-rights-navigator/</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2da9ff158a0e4949" /><Relationship Type="http://schemas.openxmlformats.org/officeDocument/2006/relationships/styles" Target="/word/styles.xml" Id="Rbcbb760ad3fa40a5" /><Relationship Type="http://schemas.openxmlformats.org/officeDocument/2006/relationships/theme" Target="/word/theme/theme1.xml" Id="Rf3dfd12316574bab" /><Relationship Type="http://schemas.openxmlformats.org/officeDocument/2006/relationships/numbering" Target="/word/numbering.xml" Id="Rbc2e118716fe44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2026-10-15T04:39:41Z</dcterms:created>
  <cp:lastModifiedBy>OfficeCLI</cp:lastModifiedBy>
  <dcterms:modified xsi:type="dcterms:W3CDTF">2026-10-15T04:39:41Z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2026-10-15T04:41:27Z</vt:lpwstr>
  </op:property>
</op:Properties>
</file>