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DATA 298A MSDA Project I</w:t>
      </w:r>
    </w:p>
    <w:p>
      <w:pPr>
        <w:spacing w:after="60"/>
        <w:jc w:val="center"/>
      </w:pPr>
      <w:r>
        <w:rPr>
          <w:rFonts w:ascii="Times New Roman" w:cs="Times New Roman" w:eastAsia="Times New Roman" w:hAnsi="Times New Roman"/>
          <w:b/>
          <w:bCs/>
          <w:sz w:val="28"/>
          <w:szCs w:val="28"/>
        </w:rPr>
        <w:t xml:space="preserve">Workbook 1</w:t>
      </w:r>
    </w:p>
    <w:p>
      <w:pPr>
        <w:spacing w:after="120" w:line="276"/>
        <w:jc w:val="both"/>
      </w:pPr>
      <w:r>
        <w:rPr>
          <w:rFonts w:ascii="Times New Roman" w:cs="Times New Roman" w:eastAsia="Times New Roman" w:hAnsi="Times New Roman"/>
          <w:b/>
          <w:bCs/>
          <w:sz w:val="22"/>
          <w:szCs w:val="22"/>
        </w:rPr>
        <w:t xml:space="preserve">Multiplayer Agents: A Shared Live Session Layer for Human-Agent Collaboration</w:t>
      </w:r>
    </w:p>
    <w:p>
      <w:pPr>
        <w:spacing w:after="120" w:line="276"/>
        <w:jc w:val="both"/>
      </w:pPr>
      <w:r>
        <w:rPr>
          <w:rFonts w:ascii="Times New Roman" w:cs="Times New Roman" w:eastAsia="Times New Roman" w:hAnsi="Times New Roman"/>
          <w:sz w:val="22"/>
          <w:szCs w:val="22"/>
        </w:rPr>
        <w:t xml:space="preserve">Team 4</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Ayush Gawai, Naman Vipul Chheda, Manav Patel, Shriram Dundigalla, Pramod Satya Dindukurthi</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Section 21, Topic 4</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Advisor: Prof. Simon Shim</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October 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84"/>
        <w:gridCol w:w="4376"/>
      </w:tblGrid>
      <w:tr>
        <w:trPr>
          <w:tblHeader/>
        </w:trPr>
        <w:tc>
          <w:tcPr>
            <w:tcW w:type="dxa" w:w="498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Team member</w:t>
            </w:r>
          </w:p>
        </w:tc>
        <w:tc>
          <w:tcPr>
            <w:tcW w:type="dxa" w:w="437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Sections written</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 Gawai</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1.1, 2.2.1, 2.2.2, 2.3</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 Vipul Chheda</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2.1, 2.2.6</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 Patel</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1.4, 2.2.7</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 Dundigalla</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2.2.3, 2.2.4, 2.2.8</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 Satya Dindukurthi</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1.2, 1.3, 1.5, 2.4</w:t>
            </w:r>
          </w:p>
        </w:tc>
      </w:tr>
    </w:tbl>
    <w:p>
      <w:pPr>
        <w:spacing w:after="120" w:line="276"/>
        <w:jc w:val="both"/>
      </w:pPr>
      <w:r>
        <w:rPr>
          <w:rFonts w:ascii="Times New Roman" w:cs="Times New Roman" w:eastAsia="Times New Roman" w:hAnsi="Times New Roman"/>
          <w:sz w:val="22"/>
          <w:szCs w:val="22"/>
        </w:rPr>
        <w:t xml:space="preserve">GitHub: https://github.com/ayushgawai/multiplayer-agent-sessions</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Linear: https://linear.app/data-298a-team-4/team/DAT/cycles</w:t>
      </w:r>
    </w:p>
    <w:p>
      <w:pPr>
        <w:pStyle w:val="Heading1"/>
        <w:spacing w:after="140" w:before="280"/>
      </w:pPr>
      <w:r>
        <w:rPr>
          <w:rFonts w:ascii="Times New Roman" w:cs="Times New Roman" w:eastAsia="Times New Roman" w:hAnsi="Times New Roman"/>
          <w:b/>
          <w:bCs/>
          <w:sz w:val="28"/>
          <w:szCs w:val="28"/>
        </w:rPr>
        <w:t xml:space="preserve">1. Introduction</w:t>
      </w:r>
    </w:p>
    <w:p>
      <w:pPr>
        <w:pStyle w:val="Heading2"/>
        <w:spacing w:after="100" w:before="220"/>
      </w:pPr>
      <w:r>
        <w:rPr>
          <w:rFonts w:ascii="Times New Roman" w:cs="Times New Roman" w:eastAsia="Times New Roman" w:hAnsi="Times New Roman"/>
          <w:b/>
          <w:bCs/>
          <w:sz w:val="24"/>
          <w:szCs w:val="24"/>
        </w:rPr>
        <w:t xml:space="preserve">1.1 Project Background and Executive Summary</w:t>
      </w:r>
    </w:p>
    <w:p>
      <w:pPr>
        <w:pStyle w:val="Heading3"/>
        <w:spacing w:after="80" w:before="160"/>
      </w:pPr>
      <w:r>
        <w:rPr>
          <w:rFonts w:ascii="Times New Roman" w:cs="Times New Roman" w:eastAsia="Times New Roman" w:hAnsi="Times New Roman"/>
          <w:b/>
          <w:bCs/>
          <w:i/>
          <w:iCs/>
          <w:sz w:val="22"/>
          <w:szCs w:val="22"/>
        </w:rPr>
        <w:t xml:space="preserve">Background, need, and importance</w:t>
      </w:r>
    </w:p>
    <w:p>
      <w:pPr>
        <w:spacing w:after="120" w:line="276"/>
        <w:jc w:val="both"/>
      </w:pPr>
      <w:r>
        <w:rPr>
          <w:rFonts w:ascii="Times New Roman" w:cs="Times New Roman" w:eastAsia="Times New Roman" w:hAnsi="Times New Roman"/>
          <w:sz w:val="22"/>
          <w:szCs w:val="22"/>
        </w:rPr>
        <w:t xml:space="preserve">Agent tooling has become substantially more capable, but the interfaces around it have not kept pace. Most agent products still assume one person directing one agent. Y Combinator's Fall 2026 Requests for Startups observes that agent tasks increasingly run for hours or days and involve entire teams [1]. When several people steer the same agent, coordination moves to side channels such as chat threads and shared documents, which hides who issued an instruction, why it was issued, and how it interacted with other instructions.</w:t>
      </w:r>
    </w:p>
    <w:p>
      <w:pPr>
        <w:spacing w:after="120" w:line="276"/>
        <w:jc w:val="both"/>
      </w:pPr>
      <w:r>
        <w:rPr>
          <w:rFonts w:ascii="Times New Roman" w:cs="Times New Roman" w:eastAsia="Times New Roman" w:hAnsi="Times New Roman"/>
          <w:sz w:val="22"/>
          <w:szCs w:val="22"/>
        </w:rPr>
        <w:t xml:space="preserve">Collaborative work exposes three concrete failures that single-user agent products do not handle. A participant who joins late cannot cheaply learn what has happened. It is unclear which participant a given instruction is meant to serve. And two actors can redirect the same agent at once with conflicting intent, leaving the system with no principled way to arbitrate. Multi-agent systems already fail in well-documented ways without any human participants involved [3], so adding several humans raises the coordination burden rather than reducing it.</w:t>
      </w:r>
    </w:p>
    <w:p>
      <w:pPr>
        <w:pStyle w:val="Heading3"/>
        <w:spacing w:after="80" w:before="160"/>
      </w:pPr>
      <w:r>
        <w:rPr>
          <w:rFonts w:ascii="Times New Roman" w:cs="Times New Roman" w:eastAsia="Times New Roman" w:hAnsi="Times New Roman"/>
          <w:b/>
          <w:bCs/>
          <w:i/>
          <w:iCs/>
          <w:sz w:val="22"/>
          <w:szCs w:val="22"/>
        </w:rPr>
        <w:t xml:space="preserve">Target problem</w:t>
      </w:r>
    </w:p>
    <w:p>
      <w:pPr>
        <w:spacing w:after="120" w:line="276"/>
        <w:jc w:val="both"/>
      </w:pPr>
      <w:r>
        <w:rPr>
          <w:rFonts w:ascii="Times New Roman" w:cs="Times New Roman" w:eastAsia="Times New Roman" w:hAnsi="Times New Roman"/>
          <w:sz w:val="22"/>
          <w:szCs w:val="22"/>
        </w:rPr>
        <w:t xml:space="preserve">This project investigates whether a multiplayer session layer improves task quality while reducing harmful conflicts and catch-up time, compared with single-player baselines. The research gap is that current agent experiences are predominantly single-user, while real work involves multiple humans and agents sharing one evolving workspace.</w:t>
      </w:r>
    </w:p>
    <w:p>
      <w:pPr>
        <w:pStyle w:val="Heading3"/>
        <w:spacing w:after="80" w:before="160"/>
      </w:pPr>
      <w:r>
        <w:rPr>
          <w:rFonts w:ascii="Times New Roman" w:cs="Times New Roman" w:eastAsia="Times New Roman" w:hAnsi="Times New Roman"/>
          <w:b/>
          <w:bCs/>
          <w:i/>
          <w:iCs/>
          <w:sz w:val="22"/>
          <w:szCs w:val="22"/>
        </w:rPr>
        <w:t xml:space="preserve">Motivations and goals</w:t>
      </w:r>
    </w:p>
    <w:p>
      <w:pPr>
        <w:spacing w:after="120" w:line="276"/>
        <w:jc w:val="both"/>
      </w:pPr>
      <w:r>
        <w:rPr>
          <w:rFonts w:ascii="Times New Roman" w:cs="Times New Roman" w:eastAsia="Times New Roman" w:hAnsi="Times New Roman"/>
          <w:sz w:val="22"/>
          <w:szCs w:val="22"/>
        </w:rPr>
        <w:t xml:space="preserve">The project pursues three goals.</w:t>
      </w:r>
    </w:p>
    <w:p>
      <w:pPr>
        <w:pStyle w:val="ListParagraph"/>
        <w:numPr>
          <w:ilvl w:val="0"/>
          <w:numId w:val="2"/>
        </w:numPr>
        <w:spacing w:after="60" w:line="264"/>
      </w:pPr>
      <w:r>
        <w:rPr>
          <w:rFonts w:ascii="Times New Roman" w:cs="Times New Roman" w:eastAsia="Times New Roman" w:hAnsi="Times New Roman"/>
          <w:b/>
          <w:bCs/>
          <w:sz w:val="22"/>
          <w:szCs w:val="22"/>
        </w:rPr>
        <w:t xml:space="preserve">Platform goal:</w:t>
      </w:r>
      <w:r>
        <w:rPr>
          <w:rFonts w:ascii="Times New Roman" w:cs="Times New Roman" w:eastAsia="Times New Roman" w:hAnsi="Times New Roman"/>
          <w:sz w:val="22"/>
          <w:szCs w:val="22"/>
        </w:rPr>
        <w:t xml:space="preserve"> a cloud-deployed shared session in which up to eight participants, human and agent, edit concurrently, hand off work, interrupt execution, and reverse actions, with a complete audit trail.</w:t>
      </w:r>
    </w:p>
    <w:p>
      <w:pPr>
        <w:pStyle w:val="ListParagraph"/>
        <w:numPr>
          <w:ilvl w:val="0"/>
          <w:numId w:val="2"/>
        </w:numPr>
        <w:spacing w:after="60" w:line="264"/>
      </w:pPr>
      <w:r>
        <w:rPr>
          <w:rFonts w:ascii="Times New Roman" w:cs="Times New Roman" w:eastAsia="Times New Roman" w:hAnsi="Times New Roman"/>
          <w:b/>
          <w:bCs/>
          <w:sz w:val="22"/>
          <w:szCs w:val="22"/>
        </w:rPr>
        <w:t xml:space="preserve">Research goal:</w:t>
      </w:r>
      <w:r>
        <w:rPr>
          <w:rFonts w:ascii="Times New Roman" w:cs="Times New Roman" w:eastAsia="Times New Roman" w:hAnsi="Times New Roman"/>
          <w:sz w:val="22"/>
          <w:szCs w:val="22"/>
        </w:rPr>
        <w:t xml:space="preserve"> train and evaluate four learned components, M1 through M4, addressing catch-up, attribution, arbitration, and routing, and show measured evidence for each.</w:t>
      </w:r>
    </w:p>
    <w:p>
      <w:pPr>
        <w:pStyle w:val="ListParagraph"/>
        <w:numPr>
          <w:ilvl w:val="0"/>
          <w:numId w:val="2"/>
        </w:numPr>
        <w:spacing w:after="60" w:line="264"/>
      </w:pPr>
      <w:r>
        <w:rPr>
          <w:rFonts w:ascii="Times New Roman" w:cs="Times New Roman" w:eastAsia="Times New Roman" w:hAnsi="Times New Roman"/>
          <w:b/>
          <w:bCs/>
          <w:sz w:val="22"/>
          <w:szCs w:val="22"/>
        </w:rPr>
        <w:t xml:space="preserve">Reproducibility goal:</w:t>
      </w:r>
      <w:r>
        <w:rPr>
          <w:rFonts w:ascii="Times New Roman" w:cs="Times New Roman" w:eastAsia="Times New Roman" w:hAnsi="Times New Roman"/>
          <w:sz w:val="22"/>
          <w:szCs w:val="22"/>
        </w:rPr>
        <w:t xml:space="preserve"> reproduce one published baseline, the MAST LLM-as-a-Judge failure-analysis pipeline [3], before claiming any improvement of our own.</w:t>
      </w:r>
    </w:p>
    <w:p>
      <w:pPr>
        <w:spacing w:after="120" w:line="276"/>
        <w:jc w:val="both"/>
      </w:pPr>
      <w:r>
        <w:rPr>
          <w:rFonts w:ascii="Times New Roman" w:cs="Times New Roman" w:eastAsia="Times New Roman" w:hAnsi="Times New Roman"/>
          <w:sz w:val="22"/>
          <w:szCs w:val="22"/>
        </w:rPr>
        <w:t xml:space="preserve">QMSum [2] is used in this project as supervision for Model 1 only; it is not a baseline.</w:t>
      </w:r>
    </w:p>
    <w:p>
      <w:pPr>
        <w:pStyle w:val="Heading3"/>
        <w:spacing w:after="80" w:before="160"/>
      </w:pPr>
      <w:r>
        <w:rPr>
          <w:rFonts w:ascii="Times New Roman" w:cs="Times New Roman" w:eastAsia="Times New Roman" w:hAnsi="Times New Roman"/>
          <w:b/>
          <w:bCs/>
          <w:i/>
          <w:iCs/>
          <w:sz w:val="22"/>
          <w:szCs w:val="22"/>
        </w:rPr>
        <w:t xml:space="preserve">Approach and methods</w:t>
      </w:r>
    </w:p>
    <w:p>
      <w:pPr>
        <w:spacing w:after="120" w:line="276"/>
        <w:jc w:val="both"/>
      </w:pPr>
      <w:r>
        <w:rPr>
          <w:rFonts w:ascii="Times New Roman" w:cs="Times New Roman" w:eastAsia="Times New Roman" w:hAnsi="Times New Roman"/>
          <w:sz w:val="22"/>
          <w:szCs w:val="22"/>
        </w:rPr>
        <w:t xml:space="preserve">The platform uses Yjs for convergent shared-document state [5], [6] and an event-sourced PostgreSQL control plane that enforces session roles, totally orders agent commands, and logs every action. That combination is what makes interruption and rollback possible across five fixed tools. Four learned components sit above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3"/>
        <w:gridCol w:w="2256"/>
        <w:gridCol w:w="2557"/>
        <w:gridCol w:w="3784"/>
      </w:tblGrid>
      <w:tr>
        <w:trPr>
          <w:tblHeader/>
        </w:trPr>
        <w:tc>
          <w:tcPr>
            <w:tcW w:type="dxa" w:w="7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Model</w:t>
            </w:r>
          </w:p>
        </w:tc>
        <w:tc>
          <w:tcPr>
            <w:tcW w:type="dxa" w:w="22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Task</w:t>
            </w:r>
          </w:p>
        </w:tc>
        <w:tc>
          <w:tcPr>
            <w:tcW w:type="dxa" w:w="25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Method</w:t>
            </w:r>
          </w:p>
        </w:tc>
        <w:tc>
          <w:tcPr>
            <w:tcW w:type="dxa" w:w="378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Success criterion</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Session-state catch-up summarizer</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ModernBERT extractive selector [15], plus Qwen and Gemma LoRA adapters [16], [10]; winner selected by ROUGE-L</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ROUGE-L at or above 28.2 on the QMSum held-out split, mean of three seeds with 95% CI, reported against the published QMSum BART result as a declared reference point</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Intent attribution: which participant an instruction addresses</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cross-encoder over the recent event window</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0.75</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Merge arbitration: accept A, accept B, merge, or escalate</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Cross-encoder with an abstention (escalate) option</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0.70, and fewer harmful outcomes than last-writer-wins</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Task decomposition and routing</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LLM planner with a learned router</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Routing by skill, workload, and cost, compared with rules-only routing</w:t>
            </w:r>
          </w:p>
        </w:tc>
      </w:tr>
    </w:tbl>
    <w:p>
      <w:pPr>
        <w:spacing w:after="160" w:before="60"/>
        <w:jc w:val="center"/>
      </w:pPr>
      <w:r>
        <w:rPr>
          <w:rFonts w:ascii="Times New Roman" w:cs="Times New Roman" w:eastAsia="Times New Roman" w:hAnsi="Times New Roman"/>
          <w:i/>
          <w:iCs/>
          <w:sz w:val="20"/>
          <w:szCs w:val="20"/>
        </w:rPr>
        <w:t xml:space="preserve">Table 1. The four learned components and their success criteria.</w:t>
      </w:r>
    </w:p>
    <w:p>
      <w:pPr>
        <w:spacing w:after="120" w:line="276"/>
        <w:jc w:val="both"/>
      </w:pPr>
      <w:r>
        <w:rPr>
          <w:rFonts w:ascii="Times New Roman" w:cs="Times New Roman" w:eastAsia="Times New Roman" w:hAnsi="Times New Roman"/>
          <w:sz w:val="22"/>
          <w:szCs w:val="22"/>
        </w:rPr>
        <w:t xml:space="preserve">Evaluation is centralised. The project uses fixed session-level data splits, versioned configurations, common result metadata, multiple seeds, 95% confidence intervals, an ablation study, and a categorized failure analysis of at least fifty failures. Every reported number is the mean of three seeds with error bars, computed only in the shared evaluation layer. MAST remains an independent external baseline and is not one of M1 through M4; it is the reference point against which the evaluation tooling itself is validated.</w:t>
      </w:r>
    </w:p>
    <w:p>
      <w:pPr>
        <w:pStyle w:val="Heading3"/>
        <w:spacing w:after="80" w:before="160"/>
      </w:pPr>
      <w:r>
        <w:rPr>
          <w:rFonts w:ascii="Times New Roman" w:cs="Times New Roman" w:eastAsia="Times New Roman" w:hAnsi="Times New Roman"/>
          <w:b/>
          <w:bCs/>
          <w:i/>
          <w:iCs/>
          <w:sz w:val="22"/>
          <w:szCs w:val="22"/>
        </w:rPr>
        <w:t xml:space="preserve">Expected contributions and applications</w:t>
      </w:r>
    </w:p>
    <w:p>
      <w:pPr>
        <w:pStyle w:val="ListParagraph"/>
        <w:numPr>
          <w:ilvl w:val="0"/>
          <w:numId w:val="2"/>
        </w:numPr>
        <w:spacing w:after="60" w:line="264"/>
      </w:pPr>
      <w:r>
        <w:rPr>
          <w:rFonts w:ascii="Times New Roman" w:cs="Times New Roman" w:eastAsia="Times New Roman" w:hAnsi="Times New Roman"/>
          <w:b/>
          <w:bCs/>
          <w:sz w:val="22"/>
          <w:szCs w:val="22"/>
        </w:rPr>
        <w:t xml:space="preserve">System contribution:</w:t>
      </w:r>
      <w:r>
        <w:rPr>
          <w:rFonts w:ascii="Times New Roman" w:cs="Times New Roman" w:eastAsia="Times New Roman" w:hAnsi="Times New Roman"/>
          <w:sz w:val="22"/>
          <w:szCs w:val="22"/>
        </w:rPr>
        <w:t xml:space="preserve"> an open, reproducible multiplayer agent-session platform with roles, ordered agent commands, an audit trail, interruption, and rollback.</w:t>
      </w:r>
    </w:p>
    <w:p>
      <w:pPr>
        <w:pStyle w:val="ListParagraph"/>
        <w:numPr>
          <w:ilvl w:val="0"/>
          <w:numId w:val="2"/>
        </w:numPr>
        <w:spacing w:after="60" w:line="264"/>
      </w:pPr>
      <w:r>
        <w:rPr>
          <w:rFonts w:ascii="Times New Roman" w:cs="Times New Roman" w:eastAsia="Times New Roman" w:hAnsi="Times New Roman"/>
          <w:b/>
          <w:bCs/>
          <w:sz w:val="22"/>
          <w:szCs w:val="22"/>
        </w:rPr>
        <w:t xml:space="preserve">Research contribution:</w:t>
      </w:r>
      <w:r>
        <w:rPr>
          <w:rFonts w:ascii="Times New Roman" w:cs="Times New Roman" w:eastAsia="Times New Roman" w:hAnsi="Times New Roman"/>
          <w:sz w:val="22"/>
          <w:szCs w:val="22"/>
        </w:rPr>
        <w:t xml:space="preserve"> four measured models on a new session-level corpus, one reproduced published baseline, and a controlled study comparing single-player, rules-only, and learned multiplayer conditions on blinded task quality, catch-up accuracy, harmful-conflict rate, and cost.</w:t>
      </w:r>
    </w:p>
    <w:p>
      <w:pPr>
        <w:pStyle w:val="ListParagraph"/>
        <w:numPr>
          <w:ilvl w:val="0"/>
          <w:numId w:val="2"/>
        </w:numPr>
        <w:spacing w:after="60" w:line="264"/>
      </w:pPr>
      <w:r>
        <w:rPr>
          <w:rFonts w:ascii="Times New Roman" w:cs="Times New Roman" w:eastAsia="Times New Roman" w:hAnsi="Times New Roman"/>
          <w:b/>
          <w:bCs/>
          <w:sz w:val="22"/>
          <w:szCs w:val="22"/>
        </w:rPr>
        <w:t xml:space="preserve">Applications:</w:t>
      </w:r>
      <w:r>
        <w:rPr>
          <w:rFonts w:ascii="Times New Roman" w:cs="Times New Roman" w:eastAsia="Times New Roman" w:hAnsi="Times New Roman"/>
          <w:sz w:val="22"/>
          <w:szCs w:val="22"/>
        </w:rPr>
        <w:t xml:space="preserve"> engineering and research teams running long agent workflows are the immediate users, and the approach should extend to incident response, support escalations, and collaborative research.</w:t>
      </w:r>
    </w:p>
    <w:p>
      <w:pPr>
        <w:spacing w:after="120" w:line="276"/>
        <w:jc w:val="both"/>
      </w:pPr>
      <w:r>
        <w:rPr>
          <w:rFonts w:ascii="Times New Roman" w:cs="Times New Roman" w:eastAsia="Times New Roman" w:hAnsi="Times New Roman"/>
          <w:sz w:val="22"/>
          <w:szCs w:val="22"/>
        </w:rPr>
        <w:t xml:space="preserve">DATA 298A delivers the data pipeline, the cloud prototype, the reproducible baseline, the evaluation harness, and Model 1. DATA 298B adds Models 2 through 4 and the controlled study.</w:t>
      </w:r>
    </w:p>
    <w:p>
      <w:pPr>
        <w:pStyle w:val="Heading2"/>
        <w:spacing w:after="100" w:before="220"/>
      </w:pPr>
      <w:r>
        <w:rPr>
          <w:rFonts w:ascii="Times New Roman" w:cs="Times New Roman" w:eastAsia="Times New Roman" w:hAnsi="Times New Roman"/>
          <w:b/>
          <w:bCs/>
          <w:sz w:val="24"/>
          <w:szCs w:val="24"/>
        </w:rPr>
        <w:t xml:space="preserve">1.2 Project Requirements</w:t>
      </w:r>
    </w:p>
    <w:p>
      <w:pPr>
        <w:spacing w:after="120" w:line="276"/>
        <w:jc w:val="both"/>
      </w:pPr>
      <w:r>
        <w:rPr>
          <w:rFonts w:ascii="Times New Roman" w:cs="Times New Roman" w:eastAsia="Times New Roman" w:hAnsi="Times New Roman"/>
          <w:sz w:val="22"/>
          <w:szCs w:val="22"/>
        </w:rPr>
        <w:t xml:space="preserve">Requirements are numbered so that tests and results can reference them. Thresholds marked as targets are the team's acceptance thresholds and will be confirmed against measured results in Workbook 2.</w:t>
      </w:r>
    </w:p>
    <w:p>
      <w:pPr>
        <w:pStyle w:val="Heading3"/>
        <w:spacing w:after="80" w:before="160"/>
      </w:pPr>
      <w:r>
        <w:rPr>
          <w:rFonts w:ascii="Times New Roman" w:cs="Times New Roman" w:eastAsia="Times New Roman" w:hAnsi="Times New Roman"/>
          <w:b/>
          <w:bCs/>
          <w:i/>
          <w:iCs/>
          <w:sz w:val="22"/>
          <w:szCs w:val="22"/>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1"/>
        <w:gridCol w:w="4164"/>
        <w:gridCol w:w="4395"/>
      </w:tblGrid>
      <w:tr>
        <w:trPr>
          <w:tblHeader/>
        </w:trPr>
        <w:tc>
          <w:tcPr>
            <w:tcW w:type="dxa" w:w="80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41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39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FR-1</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session supports up to 8 concurrent participants, human and agent, editing one shared document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Load test with 8 simulated participants; 100% of replicas converge to identical state after all edits are delivered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FR-2</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Per-participant roles and permissions are enforced by the control plane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Role-matrix test: every disallowed action is rejected; 0 unauthorized actions accepted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FR-3</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commands are totally ordered per session by the event-sourced control plane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Replaying the event log reproduces identical session state in 100% of test sessions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FR-4</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action by a human or agent is written to the audit trail with actor, time, target, and cause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Audit completeness: 100% of scripted actions appear in the log with all fields populated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FR-5</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Hand-off: a participant can transfer control of a task to another participant or agent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Scripted hand-off scenarios complete with the correct new owner recorded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FR-6</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Interruption: an authorized participant can stop a running agent action</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halts within a target of 2 s of the interrupt in test runs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FR-7</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Rollback: any logged action can be reversed across the five fixed tools</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Rollback restores the prior state in 100% of tested actions per tool</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FR-8</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platform is deployed in the cloud and reachable by all team members</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Clean deployment from the repository by CI; smoke test passes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FR-9</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Concurrent redirection of one agent by two actors is detected and surfaced as a conflict event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Injected conflicts detected with a target recall of at least 95%</w:t>
            </w:r>
          </w:p>
        </w:tc>
      </w:tr>
    </w:tbl>
    <w:p>
      <w:pPr>
        <w:spacing w:after="160" w:before="60"/>
        <w:jc w:val="center"/>
      </w:pPr>
      <w:r>
        <w:rPr>
          <w:rFonts w:ascii="Times New Roman" w:cs="Times New Roman" w:eastAsia="Times New Roman" w:hAnsi="Times New Roman"/>
          <w:i/>
          <w:iCs/>
          <w:sz w:val="20"/>
          <w:szCs w:val="20"/>
        </w:rPr>
        <w:t xml:space="preserve">Table 2. Functional requirements.</w:t>
      </w:r>
    </w:p>
    <w:p>
      <w:pPr>
        <w:pStyle w:val="Heading3"/>
        <w:spacing w:after="80" w:before="160"/>
      </w:pPr>
      <w:r>
        <w:rPr>
          <w:rFonts w:ascii="Times New Roman" w:cs="Times New Roman" w:eastAsia="Times New Roman" w:hAnsi="Times New Roman"/>
          <w:b/>
          <w:bCs/>
          <w:i/>
          <w:iCs/>
          <w:sz w:val="22"/>
          <w:szCs w:val="22"/>
        </w:rPr>
        <w:t xml:space="preserve">AI-powered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7"/>
        <w:gridCol w:w="3742"/>
        <w:gridCol w:w="4841"/>
      </w:tblGrid>
      <w:tr>
        <w:trPr>
          <w:tblHeader/>
        </w:trPr>
        <w:tc>
          <w:tcPr>
            <w:tcW w:type="dxa" w:w="7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37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84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AI-1</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 the published MAST LLM-as-a-Judge pipeline [3], as reported in Table 2 of that paper, row </w:t>
            </w:r>
            <w:r>
              <w:rPr>
                <w:rFonts w:ascii="Times New Roman" w:cs="Times New Roman" w:eastAsia="Times New Roman" w:hAnsi="Times New Roman"/>
                <w:i/>
                <w:iCs/>
                <w:sz w:val="18"/>
                <w:szCs w:val="18"/>
              </w:rPr>
              <w:t xml:space="preserve">o1 (few shot)</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within 0.02 of the published 0.94, F1 within 0.03 of 0.80, and Cohen's kappa within 0.05 of 0.77, measured against the released human-annotated traces with 95% CIs. The published figures are themselves validated on a held-out subset of the authors' inter-annotator agreement studies, so the comparison is made at the same scale and the sample size is reported alongside every value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AI-2</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reproduced judge is additionally applied at full scale as a consistency check</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Agreement against the released judge labels across all 1,642 annotated traces, reported separately from AI-1 and never presented as reproducing the paper's human-agreement result</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AI-3</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 produces a session-state catch-up summary for a participant joining in progress</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ROUGE-L at or above 28.2 on the QMSum held-out split, mean of three seeds with 95% CI. The published QMSum BART Locator-plus-Summarizer result (ROUGE-1 31.74, ROUGE-2 8.53, ROUGE-L 28.21) [2] is cited as a declared reference point for scale, and is explicitly not reproduced by this project</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AI-4</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 identifies which participant an instruction addresses</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0.75 on the held-out session-level test split, mean of three seeds with 95% CI</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AI-5</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 arbitrates conflicts among accept A, accept B, merge, or escalate</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0.70, and fewer harmful outcomes than a last-writer-wins baseline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AI-6</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 decomposes a task and routes subtasks by skill, workload, and cost</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Compared with a rules-only router on task quality and cost in the controlled study</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AI-7</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System-level evidence that learned multiplayer exceeds single-player and rules-only conditions</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Blinded task quality, catch-up accuracy, harmful-conflict rate, and cost, with 95% CIs and an ablation study</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AI-8</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Failure analysis of the whole system</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At least 50 failures collected and categorized with the MAST-informed taxonomy</w:t>
            </w:r>
          </w:p>
        </w:tc>
      </w:tr>
    </w:tbl>
    <w:p>
      <w:pPr>
        <w:spacing w:after="160" w:before="60"/>
        <w:jc w:val="center"/>
      </w:pPr>
      <w:r>
        <w:rPr>
          <w:rFonts w:ascii="Times New Roman" w:cs="Times New Roman" w:eastAsia="Times New Roman" w:hAnsi="Times New Roman"/>
          <w:i/>
          <w:iCs/>
          <w:sz w:val="20"/>
          <w:szCs w:val="20"/>
        </w:rPr>
        <w:t xml:space="preserve">Table 3. AI-powered requirements.</w:t>
      </w:r>
    </w:p>
    <w:p>
      <w:pPr>
        <w:pStyle w:val="Heading3"/>
        <w:spacing w:after="80" w:before="160"/>
      </w:pPr>
      <w:r>
        <w:rPr>
          <w:rFonts w:ascii="Times New Roman" w:cs="Times New Roman" w:eastAsia="Times New Roman" w:hAnsi="Times New Roman"/>
          <w:b/>
          <w:bCs/>
          <w:i/>
          <w:iCs/>
          <w:sz w:val="22"/>
          <w:szCs w:val="22"/>
        </w:rPr>
        <w:t xml:space="preserve">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
        <w:gridCol w:w="3779"/>
        <w:gridCol w:w="4805"/>
      </w:tblGrid>
      <w:tr>
        <w:trPr>
          <w:tblHeader/>
        </w:trPr>
        <w:tc>
          <w:tcPr>
            <w:tcW w:type="dxa" w:w="77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377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DR-1</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Use QMSum [2] (1,808 query-summary pairs over 232 multi-party meetings; MIT licence) as supervision for Model 1</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Dataset downloaded with checksums; counts match the published description</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DR-2</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Collect an in-house pilot corpus of about 30 sessions for event-level training of M2 through M4</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Corpus size and per-model example counts reported in the data statistics</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DR-3</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Double-annotate the pilot corpus</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Inter-annotator agreement reported for each label set</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DR-4</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Split complete sessions, not individual events, across train, validation, and test</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session appears in more than one split (automated leakage check)</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DR-5</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Synthetic replays may augment training but are never used for testing</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Test splits contain 0 synthetic examples (automated check)</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DR-6</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Freeze versioned datasets, manifests, and splits before final comparisons</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manifest with data IDs and checksums committed before final runs</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DR-7</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Provide the MAST dataset and a frozen evaluation manifest for the baseline reproduction</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Reproducible download and checksum script; schema and taxonomy documented. Satisfied: 1,642 records retrieved against the paper's stated 1,642, with per-file SHA-256 and pinned source revisions recorded</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DR-8</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Record which label source every prediction is scored against</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prediction record carries a reference-source field, so human-annotated and judge-annotated comparisons can never be conflated in reported results</w:t>
            </w:r>
          </w:p>
        </w:tc>
      </w:tr>
    </w:tbl>
    <w:p>
      <w:pPr>
        <w:spacing w:after="160" w:before="60"/>
        <w:jc w:val="center"/>
      </w:pPr>
      <w:r>
        <w:rPr>
          <w:rFonts w:ascii="Times New Roman" w:cs="Times New Roman" w:eastAsia="Times New Roman" w:hAnsi="Times New Roman"/>
          <w:i/>
          <w:iCs/>
          <w:sz w:val="20"/>
          <w:szCs w:val="20"/>
        </w:rPr>
        <w:t xml:space="preserve">Table 4. Data requirements.</w:t>
      </w:r>
    </w:p>
    <w:p>
      <w:pPr>
        <w:pStyle w:val="Heading2"/>
        <w:spacing w:after="100" w:before="220"/>
      </w:pPr>
      <w:r>
        <w:rPr>
          <w:rFonts w:ascii="Times New Roman" w:cs="Times New Roman" w:eastAsia="Times New Roman" w:hAnsi="Times New Roman"/>
          <w:b/>
          <w:bCs/>
          <w:sz w:val="24"/>
          <w:szCs w:val="24"/>
        </w:rPr>
        <w:t xml:space="preserve">1.3 Project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6"/>
        <w:gridCol w:w="4779"/>
        <w:gridCol w:w="1616"/>
        <w:gridCol w:w="1269"/>
      </w:tblGrid>
      <w:tr>
        <w:trPr>
          <w:tblHeader/>
        </w:trPr>
        <w:tc>
          <w:tcPr>
            <w:tcW w:type="dxa" w:w="16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Type</w:t>
            </w:r>
          </w:p>
        </w:tc>
        <w:tc>
          <w:tcPr>
            <w:tcW w:type="dxa" w:w="477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Deliverable</w:t>
            </w:r>
          </w:p>
        </w:tc>
        <w:tc>
          <w:tcPr>
            <w:tcW w:type="dxa" w:w="161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c>
          <w:tcPr>
            <w:tcW w:type="dxa" w:w="12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Semester</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Progress Reports 1 and 2, Workbooks 1 and 2, Final Report</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reproduction report (MAST) with published-value comparison and error analysis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 (lead), 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Final comparative analysis, ablations, and 50+ categorized failures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multiplayer session prototype (Yjs state, PostgreSQL event-sourced control plane, five fixed tools)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 (lead), Manav, 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React client with CRDT editing and presence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LangGraph agent runtime and tool execution [13]</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pipeline, frozen manifests and splits, statistics and agreement reports, pilot corpus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 / 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M1 catch-up summarizer (ModernBERT / Qwen / Gemma bake-off; winner by ROUGE-L)</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 intent attribution, M3 merge arbitration, M4 decomposition and routing</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 Manav, 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evaluation harness (seeds, error bars, metrics) and reproducible baseline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Study</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single-player vs. rules-only vs. learned multiplayer</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Applications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Development application in the GitHub repository with CI; production-style cloud deployment of the prototype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 / 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Presentation</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presentation, demos at Team Meetings 1 and 2, final slides and conference presentation</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bl>
    <w:p>
      <w:pPr>
        <w:spacing w:after="160" w:before="60"/>
        <w:jc w:val="center"/>
      </w:pPr>
      <w:r>
        <w:rPr>
          <w:rFonts w:ascii="Times New Roman" w:cs="Times New Roman" w:eastAsia="Times New Roman" w:hAnsi="Times New Roman"/>
          <w:i/>
          <w:iCs/>
          <w:sz w:val="20"/>
          <w:szCs w:val="20"/>
        </w:rPr>
        <w:t xml:space="preserve">Table 5. Project deliverables.</w:t>
      </w:r>
    </w:p>
    <w:p>
      <w:pPr>
        <w:pStyle w:val="Heading2"/>
        <w:spacing w:after="100" w:before="220"/>
      </w:pPr>
      <w:r>
        <w:rPr>
          <w:rFonts w:ascii="Times New Roman" w:cs="Times New Roman" w:eastAsia="Times New Roman" w:hAnsi="Times New Roman"/>
          <w:b/>
          <w:bCs/>
          <w:sz w:val="24"/>
          <w:szCs w:val="24"/>
        </w:rPr>
        <w:t xml:space="preserve">1.4 Technology and Solution Survey</w:t>
      </w:r>
    </w:p>
    <w:p>
      <w:pPr>
        <w:spacing w:after="120" w:line="276"/>
        <w:jc w:val="both"/>
      </w:pPr>
      <w:r>
        <w:rPr>
          <w:rFonts w:ascii="Times New Roman" w:cs="Times New Roman" w:eastAsia="Times New Roman" w:hAnsi="Times New Roman"/>
          <w:sz w:val="22"/>
          <w:szCs w:val="22"/>
        </w:rPr>
        <w:t xml:space="preserve">No existing product combines shared human-agent sessions with learned catch-up, attribution, arbitration, and routing. This section surveys four families of current technology, classifies them by features and application, and compares the approaches, algorithms, and models behind each of the four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2"/>
        <w:gridCol w:w="1623"/>
        <w:gridCol w:w="2957"/>
        <w:gridCol w:w="2988"/>
      </w:tblGrid>
      <w:tr>
        <w:trPr>
          <w:tblHeader/>
        </w:trPr>
        <w:tc>
          <w:tcPr>
            <w:tcW w:type="dxa" w:w="179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Family</w:t>
            </w:r>
          </w:p>
        </w:tc>
        <w:tc>
          <w:tcPr>
            <w:tcW w:type="dxa" w:w="16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Examples</w:t>
            </w:r>
          </w:p>
        </w:tc>
        <w:tc>
          <w:tcPr>
            <w:tcW w:type="dxa" w:w="29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Features</w:t>
            </w:r>
          </w:p>
        </w:tc>
        <w:tc>
          <w:tcPr>
            <w:tcW w:type="dxa" w:w="2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Gap for our problem</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Real-time collaborative editors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Google Docs, Figma</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Concurrent editing and presence on shared documents, built on operational transformation or CRDT-style synchronization [4], [5]</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Humans only. No agent actors, no agent command ordering, no attribution or arbitration of intent</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Single-user AI assistants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ChatGPT, Claude, GitHub Copilot, Cursor</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One person directs one assistant; strong code and text generation; tool use</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Sharing is by transcript or link. Coordination between several steering users moves to side channels</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frameworks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AutoGen [7], MetaGPT [12], LangGraph [13], CrewAI [14]</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Agents coordinate with each other through roles, graphs, and conversation; tool execution</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single supervising user. They do not model several humans issuing conflicting instructions. MAST shows these systems also fail in recurring ways [3]</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 inside shared workspaces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Notion AI, Slack AI, Gemini in Docs</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 features invoked by individual users inside shared workspaces; summaries and drafting</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Assistance is per user. No session-level audit, interruption, rollback, or conflict policy for the agent</w:t>
            </w:r>
          </w:p>
        </w:tc>
      </w:tr>
    </w:tbl>
    <w:p>
      <w:pPr>
        <w:spacing w:after="160" w:before="60"/>
        <w:jc w:val="center"/>
      </w:pPr>
      <w:r>
        <w:rPr>
          <w:rFonts w:ascii="Times New Roman" w:cs="Times New Roman" w:eastAsia="Times New Roman" w:hAnsi="Times New Roman"/>
          <w:i/>
          <w:iCs/>
          <w:sz w:val="20"/>
          <w:szCs w:val="20"/>
        </w:rPr>
        <w:t xml:space="preserve">Table 6. Classification of existing products and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4"/>
        <w:gridCol w:w="2546"/>
        <w:gridCol w:w="2053"/>
        <w:gridCol w:w="2717"/>
      </w:tblGrid>
      <w:tr>
        <w:trPr>
          <w:tblHeader/>
        </w:trPr>
        <w:tc>
          <w:tcPr>
            <w:tcW w:type="dxa" w:w="20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Approach</w:t>
            </w:r>
          </w:p>
        </w:tc>
        <w:tc>
          <w:tcPr>
            <w:tcW w:type="dxa" w:w="25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How it works</w:t>
            </w:r>
          </w:p>
        </w:tc>
        <w:tc>
          <w:tcPr>
            <w:tcW w:type="dxa" w:w="20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Strengths</w:t>
            </w:r>
          </w:p>
        </w:tc>
        <w:tc>
          <w:tcPr>
            <w:tcW w:type="dxa" w:w="27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Weaknesses</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Operational transformation</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server transforms concurrent operations so replicas converge [4]</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Mature, proven in word processors</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Needs a central transformation server and is hard to implement correctly</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CRDTs (Yjs)</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types merge deterministically without coordination [5], [6]</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by design, offline edits, good library support</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does not mean the merged result matches intent, and it cannot arbitrate agent commands</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Event-sourced control plane (PostgreSQL)</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Append-only log of every action; state derived by replay</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Total order, audit trail, rollback, interruption</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Needs careful schema and replay design</w:t>
            </w:r>
          </w:p>
        </w:tc>
      </w:tr>
    </w:tbl>
    <w:p>
      <w:pPr>
        <w:spacing w:after="160" w:before="60"/>
        <w:jc w:val="center"/>
      </w:pPr>
      <w:r>
        <w:rPr>
          <w:rFonts w:ascii="Times New Roman" w:cs="Times New Roman" w:eastAsia="Times New Roman" w:hAnsi="Times New Roman"/>
          <w:i/>
          <w:iCs/>
          <w:sz w:val="20"/>
          <w:szCs w:val="20"/>
        </w:rPr>
        <w:t xml:space="preserve">Table 7. Shared-state approaches. Our design combines Yjs for document state with an event-sourced control plane for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7"/>
        <w:gridCol w:w="2886"/>
        <w:gridCol w:w="2177"/>
        <w:gridCol w:w="3140"/>
      </w:tblGrid>
      <w:tr>
        <w:trPr>
          <w:tblHeader/>
        </w:trPr>
        <w:tc>
          <w:tcPr>
            <w:tcW w:type="dxa" w:w="11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Component</w:t>
            </w:r>
          </w:p>
        </w:tc>
        <w:tc>
          <w:tcPr>
            <w:tcW w:type="dxa" w:w="28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Candidates considered</w:t>
            </w:r>
          </w:p>
        </w:tc>
        <w:tc>
          <w:tcPr>
            <w:tcW w:type="dxa" w:w="21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Choice</w:t>
            </w:r>
          </w:p>
        </w:tc>
        <w:tc>
          <w:tcPr>
            <w:tcW w:type="dxa" w:w="314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Justification</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Extractive heuristics; encoder-decoder fine-tuning (BART [8], Flan-T5 [9]); retrieval plus adapter-based generation; zero-shot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ModernBERT extractive [15] and Qwen/Gemma LoRA adapters [16], [10]; winner by ROUGE-L</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ModernBERT's 8,192 token context admits a long event window without chunking, and adapter-only generation keeps training inside our compute budget. Full encoder-decoder fine-tuning was rejected on compute grounds, as described in 2.2.5</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Rule-based mentions; bi-encoder retrieval; cross-encoder; prompted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cross-encoder</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cross-encoder jointly reads the instruction and the candidate participant, which fits pairwise classification with limited labels. ModernBERT is preferred to DeBERTa-v3 [11] because attribution reads twenty prior events and a 512 token limit would force chunking</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Last-writer-wins; hand-written rules; cross-encoder with abstention; prompted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Cross-encoder with an escalate option</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Last-writer-wins is the baseline to beat. An abstention option lowers harmful outcomes by escalating rather than guessing when confidence is low</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Rules-only routing; LLM planner only; LLM planner plus learned router</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LLM planner with a learned router</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planner decomposes the task; the router assigns work using skill, workload, and cost signals that a static rule set cannot weigh</w:t>
            </w:r>
          </w:p>
        </w:tc>
      </w:tr>
    </w:tbl>
    <w:p>
      <w:pPr>
        <w:spacing w:after="160" w:before="60"/>
        <w:jc w:val="center"/>
      </w:pPr>
      <w:r>
        <w:rPr>
          <w:rFonts w:ascii="Times New Roman" w:cs="Times New Roman" w:eastAsia="Times New Roman" w:hAnsi="Times New Roman"/>
          <w:i/>
          <w:iCs/>
          <w:sz w:val="20"/>
          <w:szCs w:val="20"/>
        </w:rPr>
        <w:t xml:space="preserve">Table 8. Comparison of models and algorithms.</w:t>
      </w:r>
    </w:p>
    <w:p>
      <w:pPr>
        <w:pStyle w:val="Heading2"/>
        <w:spacing w:after="100" w:before="220"/>
      </w:pPr>
      <w:r>
        <w:rPr>
          <w:rFonts w:ascii="Times New Roman" w:cs="Times New Roman" w:eastAsia="Times New Roman" w:hAnsi="Times New Roman"/>
          <w:b/>
          <w:bCs/>
          <w:sz w:val="24"/>
          <w:szCs w:val="24"/>
        </w:rPr>
        <w:t xml:space="preserve">1.5 Literature Survey of Existing Research</w:t>
      </w:r>
    </w:p>
    <w:p>
      <w:pPr>
        <w:spacing w:after="120" w:line="276"/>
        <w:jc w:val="both"/>
      </w:pPr>
      <w:r>
        <w:rPr>
          <w:rFonts w:ascii="Times New Roman" w:cs="Times New Roman" w:eastAsia="Times New Roman" w:hAnsi="Times New Roman"/>
          <w:sz w:val="22"/>
          <w:szCs w:val="22"/>
        </w:rPr>
        <w:t xml:space="preserve">We reviewed work on agent frameworks, multi-agent evaluation, collaborative editing, and meeting summarization, and classified it by how it supports this project. The industry motivation [1] is paired with peer-reviewed work throughout, because industry motivation alone is not sufficient academic grounding.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7"/>
        <w:gridCol w:w="2235"/>
        <w:gridCol w:w="2949"/>
        <w:gridCol w:w="2499"/>
      </w:tblGrid>
      <w:tr>
        <w:trPr>
          <w:tblHeader/>
        </w:trPr>
        <w:tc>
          <w:tcPr>
            <w:tcW w:type="dxa" w:w="16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Class</w:t>
            </w:r>
          </w:p>
        </w:tc>
        <w:tc>
          <w:tcPr>
            <w:tcW w:type="dxa" w:w="22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Paper</w:t>
            </w:r>
          </w:p>
        </w:tc>
        <w:tc>
          <w:tcPr>
            <w:tcW w:type="dxa" w:w="29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Contribution</w:t>
            </w:r>
          </w:p>
        </w:tc>
        <w:tc>
          <w:tcPr>
            <w:tcW w:type="dxa" w:w="249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Use in this project</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Published baseline</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 [3]</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System Failure Taxonomy: 14 failure modes in 3 categories, validated at Cohen's kappa 0.88 across annotators, plus a validated LLM-as-a-Judge annotation pipeline and the 1,642-trace MAST-Data release</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single reproduced published baseline (AI-1), and the basis of our failure taxonomy (AI-8)</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Benchmark and training data</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QMSum [2]</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1,808 query-summary pairs over 232 multi-party meetings, with a BART Locator-plus-summarizer reference result</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Supervision for Model 1 only. Its published result is cited as a reference point for scale and is not reproduced</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Fallback baseline</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MultiAgentBench [17]</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2025 evaluation of collaboration and competition among LLM agents, inference only, with code and data released</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Documented fallback if the MAST reproduction cannot be closed, as recorded in the risk register</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Ellis and Gibbs [4]</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Concurrency control for groupware through operational transformation</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Background for why shared state needs a convergence strategy</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Shapiro et al. [5]</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Formal treatment of conflict-free replicated data types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Theory behind convergent shared state</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Nicolaescu et al. [6]</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editing on extensible data types, the basis of Yjs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Justifies Yjs for the shared-document layer</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frameworks</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AutoGen [7], MetaGPT [12]</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conversation and role-based collaboration frameworks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Reference designs for the runtime, and evidence that coordination is modelled agent-to-agent only</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[15], Qwen [16], LoRA [10], BART [8], Flan-T5 [9], DeBERTaV3 [11]</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Pretrained encoders and generators, and parameter-efficient fine-tuning</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choices for M1 to M3, and the rejected alternatives documented in Table 8</w:t>
            </w:r>
          </w:p>
        </w:tc>
      </w:tr>
    </w:tbl>
    <w:p>
      <w:pPr>
        <w:spacing w:after="160" w:before="60"/>
        <w:jc w:val="center"/>
      </w:pPr>
      <w:r>
        <w:rPr>
          <w:rFonts w:ascii="Times New Roman" w:cs="Times New Roman" w:eastAsia="Times New Roman" w:hAnsi="Times New Roman"/>
          <w:i/>
          <w:iCs/>
          <w:sz w:val="20"/>
          <w:szCs w:val="20"/>
        </w:rPr>
        <w:t xml:space="preserve">Table 9. Classification and summary of surveyed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9"/>
        <w:gridCol w:w="2273"/>
        <w:gridCol w:w="1903"/>
        <w:gridCol w:w="1909"/>
        <w:gridCol w:w="1926"/>
      </w:tblGrid>
      <w:tr>
        <w:trPr>
          <w:tblHeader/>
        </w:trPr>
        <w:tc>
          <w:tcPr>
            <w:tcW w:type="dxa" w:w="13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Dimension</w:t>
            </w:r>
          </w:p>
        </w:tc>
        <w:tc>
          <w:tcPr>
            <w:tcW w:type="dxa" w:w="22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MAST [3]</w:t>
            </w:r>
          </w:p>
        </w:tc>
        <w:tc>
          <w:tcPr>
            <w:tcW w:type="dxa" w:w="19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QMSum [2]</w:t>
            </w:r>
          </w:p>
        </w:tc>
        <w:tc>
          <w:tcPr>
            <w:tcW w:type="dxa" w:w="19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CRDT/Yjs [5], [6]</w:t>
            </w:r>
          </w:p>
        </w:tc>
        <w:tc>
          <w:tcPr>
            <w:tcW w:type="dxa" w:w="192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AutoGen/MetaGPT [7], [12]</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Focus</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Why multi-agent systems fail</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Meeting summarization</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Convergent shared state</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Building multi-agent apps</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Humans in loop</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Expert annotators, not participants</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Meeting participants as source text</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Multiple human editors</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 supervising user</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Failure taxonomy, inter-annotator agreement, and a validated LLM judge</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 on a public benchmark</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guarantees</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Task success demos</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Role in this project</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Reproduced baseline and taxonomy</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1 supervision</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Shared-document layer</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Runtime reference design</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Gap we address</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multi-human conflicts</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live session state or catch-up for late joiners</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agent commands or intent</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attribution or arbitration</w:t>
            </w:r>
          </w:p>
        </w:tc>
      </w:tr>
    </w:tbl>
    <w:p>
      <w:pPr>
        <w:spacing w:after="160" w:before="60"/>
        <w:jc w:val="center"/>
      </w:pPr>
      <w:r>
        <w:rPr>
          <w:rFonts w:ascii="Times New Roman" w:cs="Times New Roman" w:eastAsia="Times New Roman" w:hAnsi="Times New Roman"/>
          <w:i/>
          <w:iCs/>
          <w:sz w:val="20"/>
          <w:szCs w:val="20"/>
        </w:rPr>
        <w:t xml:space="preserve">Table 10. Comparison among relevant papers and the gap addressed by this project.</w:t>
      </w:r>
    </w:p>
    <w:p>
      <w:pPr>
        <w:spacing w:after="120" w:line="276"/>
        <w:jc w:val="both"/>
      </w:pPr>
      <w:r>
        <w:rPr>
          <w:rFonts w:ascii="Times New Roman" w:cs="Times New Roman" w:eastAsia="Times New Roman" w:hAnsi="Times New Roman"/>
          <w:sz w:val="22"/>
          <w:szCs w:val="22"/>
        </w:rPr>
        <w:t xml:space="preserve">Taken together, this literature shows that shared state, summarization, and multi-agent failure analysis are each well studied in isolation, but none treats several humans and several agents steering one evolving workspace. The contribution of this project sits in that gap.</w:t>
      </w:r>
    </w:p>
    <w:p>
      <w:pPr>
        <w:pStyle w:val="Heading3"/>
        <w:spacing w:after="80" w:before="160"/>
      </w:pPr>
      <w:r>
        <w:rPr>
          <w:rFonts w:ascii="Times New Roman" w:cs="Times New Roman" w:eastAsia="Times New Roman" w:hAnsi="Times New Roman"/>
          <w:b/>
          <w:bCs/>
          <w:i/>
          <w:iCs/>
          <w:sz w:val="22"/>
          <w:szCs w:val="22"/>
        </w:rPr>
        <w:t xml:space="preserve">Published baseline to be reproduced</w:t>
      </w:r>
    </w:p>
    <w:p>
      <w:pPr>
        <w:spacing w:after="120" w:line="276"/>
        <w:jc w:val="both"/>
      </w:pPr>
      <w:r>
        <w:rPr>
          <w:rFonts w:ascii="Times New Roman" w:cs="Times New Roman" w:eastAsia="Times New Roman" w:hAnsi="Times New Roman"/>
          <w:sz w:val="22"/>
          <w:szCs w:val="22"/>
        </w:rPr>
        <w:t xml:space="preserve">One published baseline is reproduced, and it is held separate from the four models: it is the external reference point against which our evaluation tooling is validated, not a contribution of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2643"/>
        <w:gridCol w:w="1036"/>
        <w:gridCol w:w="1839"/>
        <w:gridCol w:w="1739"/>
      </w:tblGrid>
      <w:tr>
        <w:trPr>
          <w:tblHeader/>
        </w:trPr>
        <w:tc>
          <w:tcPr>
            <w:tcW w:type="dxa" w:w="21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Baseline paper</w:t>
            </w:r>
          </w:p>
        </w:tc>
        <w:tc>
          <w:tcPr>
            <w:tcW w:type="dxa" w:w="264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Reported number</w:t>
            </w:r>
          </w:p>
        </w:tc>
        <w:tc>
          <w:tcPr>
            <w:tcW w:type="dxa" w:w="10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Table / figure</w:t>
            </w:r>
          </w:p>
        </w:tc>
        <w:tc>
          <w:tcPr>
            <w:tcW w:type="dxa" w:w="18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Benchmark</w:t>
            </w:r>
          </w:p>
        </w:tc>
        <w:tc>
          <w:tcPr>
            <w:tcW w:type="dxa" w:w="17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Code obtained?</w:t>
            </w:r>
          </w:p>
        </w:tc>
      </w:tr>
      <w:tr>
        <w:trPr>
          <w:cantSplit/>
        </w:trPr>
        <w:tc>
          <w:tcPr>
            <w:tcW w:type="dxa" w:w="21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Cemri et al., 2025. "Why Do Multi-Agent LLM Systems Fail?" NeurIPS 2025, Datasets and Benchmarks Track [3]</w:t>
            </w:r>
          </w:p>
        </w:tc>
        <w:tc>
          <w:tcPr>
            <w:tcW w:type="dxa" w:w="264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0.94, recall 0.77, precision 0.833, F1 0.80, Cohen's kappa 0.77, for the LLM-as-a-Judge pipeline against expert human annotation</w:t>
            </w:r>
          </w:p>
        </w:tc>
        <w:tc>
          <w:tcPr>
            <w:tcW w:type="dxa" w:w="10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Table 2 of [3], row </w:t>
            </w:r>
            <w:r>
              <w:rPr>
                <w:rFonts w:ascii="Times New Roman" w:cs="Times New Roman" w:eastAsia="Times New Roman" w:hAnsi="Times New Roman"/>
                <w:i/>
                <w:iCs/>
                <w:sz w:val="18"/>
                <w:szCs w:val="18"/>
              </w:rPr>
              <w:t xml:space="preserve">o1 (few shot)</w:t>
            </w:r>
          </w:p>
        </w:tc>
        <w:tc>
          <w:tcPr>
            <w:tcW w:type="dxa" w:w="18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MAST-Data, 1,642 annotated traces across 7 multi-agent system frameworks</w:t>
            </w:r>
          </w:p>
        </w:tc>
        <w:tc>
          <w:tcPr>
            <w:tcW w:type="dxa" w:w="1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 Official repository and Hugging Face release, both pinned by commit</w:t>
            </w:r>
          </w:p>
        </w:tc>
      </w:tr>
    </w:tbl>
    <w:p>
      <w:pPr>
        <w:spacing w:after="160" w:before="60"/>
        <w:jc w:val="center"/>
      </w:pPr>
      <w:r>
        <w:rPr>
          <w:rFonts w:ascii="Times New Roman" w:cs="Times New Roman" w:eastAsia="Times New Roman" w:hAnsi="Times New Roman"/>
          <w:i/>
          <w:iCs/>
          <w:sz w:val="20"/>
          <w:szCs w:val="20"/>
        </w:rPr>
        <w:t xml:space="preserve">Table 11. The single published baseline reproduced by this project.</w:t>
      </w:r>
    </w:p>
    <w:p>
      <w:pPr>
        <w:spacing w:after="120" w:line="276"/>
        <w:jc w:val="both"/>
      </w:pPr>
      <w:r>
        <w:rPr>
          <w:rFonts w:ascii="Times New Roman" w:cs="Times New Roman" w:eastAsia="Times New Roman" w:hAnsi="Times New Roman"/>
          <w:sz w:val="22"/>
          <w:szCs w:val="22"/>
        </w:rPr>
        <w:t xml:space="preserve">Access to the baseline is established and provenanced. The MAST-Data release was retrieved by a scripted download from the Hugging Face dataset </w:t>
      </w:r>
      <w:r>
        <w:rPr>
          <w:rFonts w:ascii="Times New Roman" w:cs="Times New Roman" w:eastAsia="Times New Roman" w:hAnsi="Times New Roman"/>
          <w:i/>
          <w:iCs/>
          <w:sz w:val="22"/>
          <w:szCs w:val="22"/>
        </w:rPr>
        <w:t xml:space="preserve">mcemri/MAD</w:t>
      </w:r>
      <w:r>
        <w:rPr>
          <w:rFonts w:ascii="Times New Roman" w:cs="Times New Roman" w:eastAsia="Times New Roman" w:hAnsi="Times New Roman"/>
          <w:sz w:val="22"/>
          <w:szCs w:val="22"/>
        </w:rPr>
        <w:t xml:space="preserve">, pinned at commit </w:t>
      </w:r>
      <w:r>
        <w:rPr>
          <w:rFonts w:ascii="Times New Roman" w:cs="Times New Roman" w:eastAsia="Times New Roman" w:hAnsi="Times New Roman"/>
          <w:sz w:val="22"/>
          <w:szCs w:val="22"/>
        </w:rPr>
        <w:t xml:space="preserve">95118ac951421753cf1deb87ddea3b01e693c41b</w:t>
      </w:r>
      <w:r>
        <w:rPr>
          <w:rFonts w:ascii="Times New Roman" w:cs="Times New Roman" w:eastAsia="Times New Roman" w:hAnsi="Times New Roman"/>
          <w:sz w:val="22"/>
          <w:szCs w:val="22"/>
        </w:rPr>
        <w:t xml:space="preserve">, with the official MAST repository pinned at </w:t>
      </w:r>
      <w:r>
        <w:rPr>
          <w:rFonts w:ascii="Times New Roman" w:cs="Times New Roman" w:eastAsia="Times New Roman" w:hAnsi="Times New Roman"/>
          <w:sz w:val="22"/>
          <w:szCs w:val="22"/>
        </w:rPr>
        <w:t xml:space="preserve">a70542e541b2104ef8fcd785778179e173fb8d70</w:t>
      </w:r>
      <w:r>
        <w:rPr>
          <w:rFonts w:ascii="Times New Roman" w:cs="Times New Roman" w:eastAsia="Times New Roman" w:hAnsi="Times New Roman"/>
          <w:sz w:val="22"/>
          <w:szCs w:val="22"/>
        </w:rPr>
        <w:t xml:space="preserve"> for the taxonomy definitions and few-shot examples. A SHA-256 digest is recorded for every retrieved file, the retrieval timestamp is 25 September 2026, and the retrieved record count of 1,642 matches the count stated in the paper exactly. The pipeline under reproduction prompts OpenAI's o1 model with an execution trace, the MAST failure-mode definitions, and few-shot examples drawn from the human-annotated data, which is the configuration reported in the </w:t>
      </w:r>
      <w:r>
        <w:rPr>
          <w:rFonts w:ascii="Times New Roman" w:cs="Times New Roman" w:eastAsia="Times New Roman" w:hAnsi="Times New Roman"/>
          <w:i/>
          <w:iCs/>
          <w:sz w:val="22"/>
          <w:szCs w:val="22"/>
        </w:rPr>
        <w:t xml:space="preserve">o1 (few shot)</w:t>
      </w:r>
      <w:r>
        <w:rPr>
          <w:rFonts w:ascii="Times New Roman" w:cs="Times New Roman" w:eastAsia="Times New Roman" w:hAnsi="Times New Roman"/>
          <w:sz w:val="22"/>
          <w:szCs w:val="22"/>
        </w:rPr>
        <w:t xml:space="preserve"> row of Table 2 of [3]. Without few-shot examples the same paper reports accuracy 0.89 and kappa 0.58, so the few-shot configuration is a material part of what must be reproduced.</w:t>
      </w:r>
    </w:p>
    <w:p>
      <w:pPr>
        <w:pStyle w:val="Heading1"/>
        <w:spacing w:after="140" w:before="280"/>
      </w:pPr>
      <w:r>
        <w:rPr>
          <w:rFonts w:ascii="Times New Roman" w:cs="Times New Roman" w:eastAsia="Times New Roman" w:hAnsi="Times New Roman"/>
          <w:b/>
          <w:bCs/>
          <w:sz w:val="28"/>
          <w:szCs w:val="28"/>
        </w:rPr>
        <w:t xml:space="preserve">2. Data and Project Management Plan</w:t>
      </w:r>
    </w:p>
    <w:p>
      <w:pPr>
        <w:pStyle w:val="Heading2"/>
        <w:spacing w:after="100" w:before="220"/>
      </w:pPr>
      <w:r>
        <w:rPr>
          <w:rFonts w:ascii="Times New Roman" w:cs="Times New Roman" w:eastAsia="Times New Roman" w:hAnsi="Times New Roman"/>
          <w:b/>
          <w:bCs/>
          <w:sz w:val="24"/>
          <w:szCs w:val="24"/>
        </w:rPr>
        <w:t xml:space="preserve">2.1 Data Management Plan</w:t>
      </w:r>
    </w:p>
    <w:p>
      <w:pPr>
        <w:pStyle w:val="Heading3"/>
        <w:spacing w:after="80" w:before="160"/>
      </w:pPr>
      <w:r>
        <w:rPr>
          <w:rFonts w:ascii="Times New Roman" w:cs="Times New Roman" w:eastAsia="Times New Roman" w:hAnsi="Times New Roman"/>
          <w:b/>
          <w:bCs/>
          <w:i/>
          <w:iCs/>
          <w:sz w:val="22"/>
          <w:szCs w:val="22"/>
        </w:rPr>
        <w:t xml:space="preserve">Collection</w:t>
      </w:r>
    </w:p>
    <w:p>
      <w:pPr>
        <w:spacing w:after="120" w:line="276"/>
        <w:jc w:val="both"/>
      </w:pPr>
      <w:r>
        <w:rPr>
          <w:rFonts w:ascii="Times New Roman" w:cs="Times New Roman" w:eastAsia="Times New Roman" w:hAnsi="Times New Roman"/>
          <w:sz w:val="22"/>
          <w:szCs w:val="22"/>
        </w:rPr>
        <w:t xml:space="preserve">The project draws on three data sources.</w:t>
      </w:r>
    </w:p>
    <w:p>
      <w:pPr>
        <w:pStyle w:val="ListParagraph"/>
        <w:numPr>
          <w:ilvl w:val="0"/>
          <w:numId w:val="2"/>
        </w:numPr>
        <w:spacing w:after="60" w:line="264"/>
      </w:pPr>
      <w:r>
        <w:rPr>
          <w:rFonts w:ascii="Times New Roman" w:cs="Times New Roman" w:eastAsia="Times New Roman" w:hAnsi="Times New Roman"/>
          <w:b/>
          <w:bCs/>
          <w:sz w:val="22"/>
          <w:szCs w:val="22"/>
        </w:rPr>
        <w:t xml:space="preserve">MAST-Data:</w:t>
      </w:r>
      <w:r>
        <w:rPr>
          <w:rFonts w:ascii="Times New Roman" w:cs="Times New Roman" w:eastAsia="Times New Roman" w:hAnsi="Times New Roman"/>
          <w:sz w:val="22"/>
          <w:szCs w:val="22"/>
        </w:rPr>
        <w:t xml:space="preserve"> the release accompanying Cemri et al. [3] supplies the annotated multi-agent failure traces used for baseline reproduction, and is retrieved by a scripted download that pins the source revision and verifies a checksum for every file.</w:t>
      </w:r>
    </w:p>
    <w:p>
      <w:pPr>
        <w:pStyle w:val="ListParagraph"/>
        <w:numPr>
          <w:ilvl w:val="0"/>
          <w:numId w:val="2"/>
        </w:numPr>
        <w:spacing w:after="60" w:line="264"/>
      </w:pPr>
      <w:r>
        <w:rPr>
          <w:rFonts w:ascii="Times New Roman" w:cs="Times New Roman" w:eastAsia="Times New Roman" w:hAnsi="Times New Roman"/>
          <w:b/>
          <w:bCs/>
          <w:sz w:val="22"/>
          <w:szCs w:val="22"/>
        </w:rPr>
        <w:t xml:space="preserve">QMSum:</w:t>
      </w:r>
      <w:r>
        <w:rPr>
          <w:rFonts w:ascii="Times New Roman" w:cs="Times New Roman" w:eastAsia="Times New Roman" w:hAnsi="Times New Roman"/>
          <w:sz w:val="22"/>
          <w:szCs w:val="22"/>
        </w:rPr>
        <w:t xml:space="preserve"> supplies supervision for Model 1 and is obtained the same way from the public Yale-LILY release [2].</w:t>
      </w:r>
    </w:p>
    <w:p>
      <w:pPr>
        <w:pStyle w:val="ListParagraph"/>
        <w:numPr>
          <w:ilvl w:val="0"/>
          <w:numId w:val="2"/>
        </w:numPr>
        <w:spacing w:after="60" w:line="264"/>
      </w:pPr>
      <w:r>
        <w:rPr>
          <w:rFonts w:ascii="Times New Roman" w:cs="Times New Roman" w:eastAsia="Times New Roman" w:hAnsi="Times New Roman"/>
          <w:b/>
          <w:bCs/>
          <w:sz w:val="22"/>
          <w:szCs w:val="22"/>
        </w:rPr>
        <w:t xml:space="preserve">In-house pilot corpus:</w:t>
      </w:r>
      <w:r>
        <w:rPr>
          <w:rFonts w:ascii="Times New Roman" w:cs="Times New Roman" w:eastAsia="Times New Roman" w:hAnsi="Times New Roman"/>
          <w:sz w:val="22"/>
          <w:szCs w:val="22"/>
        </w:rPr>
        <w:t xml:space="preserve"> approximately thirty sessions recorded on our own prototype, where each session is annotated independently by two annotators for event-level attribution, conflict outcome, and routing labels.</w:t>
      </w:r>
    </w:p>
    <w:p>
      <w:pPr>
        <w:spacing w:after="120" w:line="276"/>
        <w:jc w:val="both"/>
      </w:pPr>
      <w:r>
        <w:rPr>
          <w:rFonts w:ascii="Times New Roman" w:cs="Times New Roman" w:eastAsia="Times New Roman" w:hAnsi="Times New Roman"/>
          <w:sz w:val="22"/>
          <w:szCs w:val="22"/>
        </w:rPr>
        <w:t xml:space="preserve">Synthetic replays generated from recorded sessions may augment training for Models 2 through 4, and are never used for testing.</w:t>
      </w:r>
    </w:p>
    <w:p>
      <w:pPr>
        <w:pStyle w:val="Heading3"/>
        <w:spacing w:after="80" w:before="160"/>
      </w:pPr>
      <w:r>
        <w:rPr>
          <w:rFonts w:ascii="Times New Roman" w:cs="Times New Roman" w:eastAsia="Times New Roman" w:hAnsi="Times New Roman"/>
          <w:b/>
          <w:bCs/>
          <w:i/>
          <w:iCs/>
          <w:sz w:val="22"/>
          <w:szCs w:val="22"/>
        </w:rPr>
        <w:t xml:space="preserve">Licences and terms of use</w:t>
      </w:r>
    </w:p>
    <w:p>
      <w:pPr>
        <w:spacing w:after="120" w:line="276"/>
        <w:jc w:val="both"/>
      </w:pPr>
      <w:r>
        <w:rPr>
          <w:rFonts w:ascii="Times New Roman" w:cs="Times New Roman" w:eastAsia="Times New Roman" w:hAnsi="Times New Roman"/>
          <w:sz w:val="22"/>
          <w:szCs w:val="22"/>
        </w:rPr>
        <w:t xml:space="preserve">MAST-Data is released under the Creative Commons Attribution 4.0 International licence (CC-BY-4.0), which permits redistribution and derivative work with attribution. QMSum is released under the MIT licence by Yale-LILY. The in-house pilot corpus is generated by the team and by classmates recruited with consent; it is not redistributed, is used only for this course project, and is anonymised before any commit. No source used in this project carries a non-commercial or no-derivatives restriction that would conflict with publishing our results.</w:t>
      </w:r>
    </w:p>
    <w:p>
      <w:pPr>
        <w:pStyle w:val="Heading3"/>
        <w:spacing w:after="80" w:before="160"/>
      </w:pPr>
      <w:r>
        <w:rPr>
          <w:rFonts w:ascii="Times New Roman" w:cs="Times New Roman" w:eastAsia="Times New Roman" w:hAnsi="Times New Roman"/>
          <w:b/>
          <w:bCs/>
          <w:i/>
          <w:iCs/>
          <w:sz w:val="22"/>
          <w:szCs w:val="22"/>
        </w:rPr>
        <w:t xml:space="preserve">Storage, and where the data physically lives</w:t>
      </w:r>
    </w:p>
    <w:p>
      <w:pPr>
        <w:spacing w:after="120" w:line="276"/>
        <w:jc w:val="both"/>
      </w:pPr>
      <w:r>
        <w:rPr>
          <w:rFonts w:ascii="Times New Roman" w:cs="Times New Roman" w:eastAsia="Times New Roman" w:hAnsi="Times New Roman"/>
          <w:sz w:val="22"/>
          <w:szCs w:val="22"/>
        </w:rPr>
        <w:t xml:space="preserve">Neither public dataset is committed to version control. Both are reconstructed on demand by pinned download scripts, which write MAST-Data into </w:t>
      </w:r>
      <w:r>
        <w:rPr>
          <w:rFonts w:ascii="Times New Roman" w:cs="Times New Roman" w:eastAsia="Times New Roman" w:hAnsi="Times New Roman"/>
          <w:sz w:val="22"/>
          <w:szCs w:val="22"/>
        </w:rPr>
        <w:t xml:space="preserve">data/mast/hf/</w:t>
      </w:r>
      <w:r>
        <w:rPr>
          <w:rFonts w:ascii="Times New Roman" w:cs="Times New Roman" w:eastAsia="Times New Roman" w:hAnsi="Times New Roman"/>
          <w:sz w:val="22"/>
          <w:szCs w:val="22"/>
        </w:rPr>
        <w:t xml:space="preserve"> and the taxonomy reference into </w:t>
      </w:r>
      <w:r>
        <w:rPr>
          <w:rFonts w:ascii="Times New Roman" w:cs="Times New Roman" w:eastAsia="Times New Roman" w:hAnsi="Times New Roman"/>
          <w:sz w:val="22"/>
          <w:szCs w:val="22"/>
        </w:rPr>
        <w:t xml:space="preserve">data/mast/taxonomy/</w:t>
      </w:r>
      <w:r>
        <w:rPr>
          <w:rFonts w:ascii="Times New Roman" w:cs="Times New Roman" w:eastAsia="Times New Roman" w:hAnsi="Times New Roman"/>
          <w:sz w:val="22"/>
          <w:szCs w:val="22"/>
        </w:rPr>
        <w:t xml:space="preserve">, and QMSum into </w:t>
      </w:r>
      <w:r>
        <w:rPr>
          <w:rFonts w:ascii="Times New Roman" w:cs="Times New Roman" w:eastAsia="Times New Roman" w:hAnsi="Times New Roman"/>
          <w:sz w:val="22"/>
          <w:szCs w:val="22"/>
        </w:rPr>
        <w:t xml:space="preserve">data/qmsum/</w:t>
      </w:r>
      <w:r>
        <w:rPr>
          <w:rFonts w:ascii="Times New Roman" w:cs="Times New Roman" w:eastAsia="Times New Roman" w:hAnsi="Times New Roman"/>
          <w:sz w:val="22"/>
          <w:szCs w:val="22"/>
        </w:rPr>
        <w:t xml:space="preserve">, on each team member's local working copy. Those paths are excluded by the repository's </w:t>
      </w:r>
      <w:r>
        <w:rPr>
          <w:rFonts w:ascii="Times New Roman" w:cs="Times New Roman" w:eastAsia="Times New Roman" w:hAnsi="Times New Roman"/>
          <w:sz w:val="22"/>
          <w:szCs w:val="22"/>
        </w:rPr>
        <w:t xml:space="preserve">.gitignore</w:t>
      </w:r>
      <w:r>
        <w:rPr>
          <w:rFonts w:ascii="Times New Roman" w:cs="Times New Roman" w:eastAsia="Times New Roman" w:hAnsi="Times New Roman"/>
          <w:sz w:val="22"/>
          <w:szCs w:val="22"/>
        </w:rPr>
        <w:t xml:space="preserve">, with only the directory README and the generated statistics file retained in git. Physical durability therefore rests on the pinned upstream sources plus the recorded checksums rather than on any one machine, which is a deliberate choice: any member can reproduce a byte-identical dataset from the repository alone, and a lost or wiped machine costs nothing. Live session events are written to the append-only PostgreSQL event log in the deployed environment, which doubles as the source of training examples for Models 2 through 4. Experiment outputs are preserved as immutable result directories, each carrying a run manifest that records configuration, seed, code version, and environment.</w:t>
      </w:r>
    </w:p>
    <w:p>
      <w:pPr>
        <w:pStyle w:val="Heading3"/>
        <w:spacing w:after="80" w:before="160"/>
      </w:pPr>
      <w:r>
        <w:rPr>
          <w:rFonts w:ascii="Times New Roman" w:cs="Times New Roman" w:eastAsia="Times New Roman" w:hAnsi="Times New Roman"/>
          <w:b/>
          <w:bCs/>
          <w:i/>
          <w:iCs/>
          <w:sz w:val="22"/>
          <w:szCs w:val="22"/>
        </w:rPr>
        <w:t xml:space="preserve">Management</w:t>
      </w:r>
    </w:p>
    <w:p>
      <w:pPr>
        <w:spacing w:after="120" w:line="276"/>
        <w:jc w:val="both"/>
      </w:pPr>
      <w:r>
        <w:rPr>
          <w:rFonts w:ascii="Times New Roman" w:cs="Times New Roman" w:eastAsia="Times New Roman" w:hAnsi="Times New Roman"/>
          <w:sz w:val="22"/>
          <w:szCs w:val="22"/>
        </w:rPr>
        <w:t xml:space="preserve">Datasets, manifests, and splits are versioned in the repository, and final comparisons use only frozen versions. A frozen evaluation manifest records data identifiers and checksums so that any baseline run can be reproduced from the manifest alone. Splits are made by complete session rather than by individual event, and automated checks confirm that no session appears in more than one split and that no synthetic example reaches a test split. Inter-annotator agreement and descriptive statistics are computed for each label set, and disagreements are adjudicated and logged rather than silently resolved.</w:t>
      </w:r>
    </w:p>
    <w:p>
      <w:pPr>
        <w:pStyle w:val="Heading3"/>
        <w:spacing w:after="80" w:before="160"/>
      </w:pPr>
      <w:r>
        <w:rPr>
          <w:rFonts w:ascii="Times New Roman" w:cs="Times New Roman" w:eastAsia="Times New Roman" w:hAnsi="Times New Roman"/>
          <w:b/>
          <w:bCs/>
          <w:i/>
          <w:iCs/>
          <w:sz w:val="22"/>
          <w:szCs w:val="22"/>
        </w:rPr>
        <w:t xml:space="preserve">Usage</w:t>
      </w:r>
    </w:p>
    <w:p>
      <w:pPr>
        <w:spacing w:after="120" w:line="276"/>
        <w:jc w:val="both"/>
      </w:pPr>
      <w:r>
        <w:rPr>
          <w:rFonts w:ascii="Times New Roman" w:cs="Times New Roman" w:eastAsia="Times New Roman" w:hAnsi="Times New Roman"/>
          <w:sz w:val="22"/>
          <w:szCs w:val="22"/>
        </w:rPr>
        <w:t xml:space="preserve">Model 1 is trained and evaluated on QMSum, which serves as supervision only. Models 2 through 4 train on event-level examples drawn from the pilot corpus. All final metrics are computed in the shared evaluation layer from common result metadata, so that no model reports numbers through its own code path. The MAST release contains two distinct label sources, a 1,642-record file carrying LLM-judge annotations and a 19-record file from the authors' inter-annotator agreement study, and conflating them would misstate what has been reproduced. Every prediction record therefore carries the reference source it was scored against, as required by DR-8.</w:t>
      </w:r>
    </w:p>
    <w:p>
      <w:pPr>
        <w:pStyle w:val="Heading3"/>
        <w:spacing w:after="80" w:before="160"/>
      </w:pPr>
      <w:r>
        <w:rPr>
          <w:rFonts w:ascii="Times New Roman" w:cs="Times New Roman" w:eastAsia="Times New Roman" w:hAnsi="Times New Roman"/>
          <w:b/>
          <w:bCs/>
          <w:i/>
          <w:iCs/>
          <w:sz w:val="22"/>
          <w:szCs w:val="22"/>
        </w:rPr>
        <w:t xml:space="preserve">Participant data</w:t>
      </w:r>
    </w:p>
    <w:p>
      <w:pPr>
        <w:spacing w:after="120" w:line="276"/>
        <w:jc w:val="both"/>
      </w:pPr>
      <w:r>
        <w:rPr>
          <w:rFonts w:ascii="Times New Roman" w:cs="Times New Roman" w:eastAsia="Times New Roman" w:hAnsi="Times New Roman"/>
          <w:sz w:val="22"/>
          <w:szCs w:val="22"/>
        </w:rPr>
        <w:t xml:space="preserve">Session recordings capture event logs only, with no audio or video. Participant identifiers are replaced with pseudonyms before any data is committed, and annotator and participant data are used solely for this course project.</w:t>
      </w:r>
    </w:p>
    <w:p>
      <w:pPr>
        <w:pStyle w:val="Heading2"/>
        <w:spacing w:after="100" w:before="220"/>
      </w:pPr>
      <w:r>
        <w:rPr>
          <w:rFonts w:ascii="Times New Roman" w:cs="Times New Roman" w:eastAsia="Times New Roman" w:hAnsi="Times New Roman"/>
          <w:b/>
          <w:bCs/>
          <w:sz w:val="24"/>
          <w:szCs w:val="24"/>
        </w:rPr>
        <w:t xml:space="preserve">2.2 Project Management Plan</w:t>
      </w:r>
    </w:p>
    <w:p>
      <w:pPr>
        <w:pStyle w:val="Heading3"/>
        <w:spacing w:after="80" w:before="160"/>
      </w:pPr>
      <w:r>
        <w:rPr>
          <w:rFonts w:ascii="Times New Roman" w:cs="Times New Roman" w:eastAsia="Times New Roman" w:hAnsi="Times New Roman"/>
          <w:b/>
          <w:bCs/>
          <w:i/>
          <w:iCs/>
          <w:sz w:val="22"/>
          <w:szCs w:val="22"/>
        </w:rPr>
        <w:t xml:space="preserve">2.2.1 Business Problem Framing and Stakeholder Analysis</w:t>
      </w:r>
    </w:p>
    <w:p>
      <w:pPr>
        <w:spacing w:after="120" w:line="276"/>
        <w:jc w:val="both"/>
      </w:pPr>
      <w:r>
        <w:rPr>
          <w:rFonts w:ascii="Times New Roman" w:cs="Times New Roman" w:eastAsia="Times New Roman" w:hAnsi="Times New Roman"/>
          <w:sz w:val="22"/>
          <w:szCs w:val="22"/>
        </w:rPr>
        <w:t xml:space="preserve">The business problem is that agent tooling is bought and deployed for teams but designed for individuals. When a team directs one agent, the coordination work moves out of the product and into chat threads and shared documents, where the record of who asked for what, and why, is lost. The cost is not a worse model; it is rework, duplicated instructions, and silent conflicts that nobody notices until the output is wrong.</w:t>
      </w:r>
    </w:p>
    <w:p>
      <w:pPr>
        <w:spacing w:after="120" w:line="276"/>
        <w:jc w:val="both"/>
      </w:pPr>
      <w:r>
        <w:rPr>
          <w:rFonts w:ascii="Times New Roman" w:cs="Times New Roman" w:eastAsia="Times New Roman" w:hAnsi="Times New Roman"/>
          <w:sz w:val="22"/>
          <w:szCs w:val="22"/>
        </w:rPr>
        <w:t xml:space="preserve">Four decisions change if this system exists. A participant joining a session in progress currently decides between reading the entire history and asking a colleague to summarise it, and both choices cost someone time; with a session-state catch-up summarizer that decision becomes a single read. A participant receiving an agent action currently decides whether it was meant for them by inference from context; with intent attribution the system states it. When two participants redirect the same agent at once, the present default is that the last instruction wins and the loser is never told; with merge arbitration the conflict becomes an explicit event with an owner, and escalation to a human becomes an available outcome rather than an accident. Finally, a team lead assigning a subtask currently decides by availability; with learned routing that decision accounts for skill, workload, and cost.</w:t>
      </w:r>
    </w:p>
    <w:p>
      <w:pPr>
        <w:spacing w:after="120" w:line="276"/>
        <w:jc w:val="both"/>
      </w:pPr>
      <w:r>
        <w:rPr>
          <w:rFonts w:ascii="Times New Roman" w:cs="Times New Roman" w:eastAsia="Times New Roman" w:hAnsi="Times New Roman"/>
          <w:sz w:val="22"/>
          <w:szCs w:val="22"/>
        </w:rPr>
        <w:t xml:space="preserve">The primary stakeholders are engineering and research teams running long agent workflows, who are the immediate users and whose coordination overhead the system is intended to remove. Secondary stakeholders are the domains where the same pattern recurs under time pressure, specifically incident response, support escalation, and collaborative research. Within the course, the instructor and the ISA are stakeholders in the evidence rather than in the product: their decision is whether each claim we report is substantiated, which is why every requirement in section 1.2 carries a test or measure, and why the Linear board is maintained as the authoritative record of what was actually done.</w:t>
      </w:r>
    </w:p>
    <w:p>
      <w:pPr>
        <w:spacing w:after="120" w:line="276"/>
        <w:jc w:val="both"/>
      </w:pPr>
      <w:r>
        <w:rPr>
          <w:rFonts w:ascii="Times New Roman" w:cs="Times New Roman" w:eastAsia="Times New Roman" w:hAnsi="Times New Roman"/>
          <w:sz w:val="22"/>
          <w:szCs w:val="22"/>
        </w:rPr>
        <w:t xml:space="preserve">For each stakeholder group the decision that changes has the same structure. Today the cost of coordinating several people around one agent is paid by the participants, invisibly and repeatedly. The system moves that cost into the platform, where it can be measured, and the research question is whether doing so improves task quality while reducing harmful conflicts and catch-up time.</w:t>
      </w:r>
    </w:p>
    <w:p>
      <w:pPr>
        <w:pStyle w:val="Heading3"/>
        <w:spacing w:after="80" w:before="160"/>
      </w:pPr>
      <w:r>
        <w:rPr>
          <w:rFonts w:ascii="Times New Roman" w:cs="Times New Roman" w:eastAsia="Times New Roman" w:hAnsi="Times New Roman"/>
          <w:b/>
          <w:bCs/>
          <w:i/>
          <w:iCs/>
          <w:sz w:val="22"/>
          <w:szCs w:val="22"/>
        </w:rPr>
        <w:t xml:space="preserve">2.2.2 Business Requirements and Success Criteria</w:t>
      </w:r>
    </w:p>
    <w:p>
      <w:pPr>
        <w:spacing w:after="120" w:line="276"/>
        <w:jc w:val="both"/>
      </w:pPr>
      <w:r>
        <w:rPr>
          <w:rFonts w:ascii="Times New Roman" w:cs="Times New Roman" w:eastAsia="Times New Roman" w:hAnsi="Times New Roman"/>
          <w:sz w:val="22"/>
          <w:szCs w:val="22"/>
        </w:rPr>
        <w:t xml:space="preserve">The business requirements follow from the stakeholder analysis above. The platform must support a team rather than an individual, which means concurrent participants, enforced roles, and a complete audit trail. It must make agent execution governable, which means total ordering of agent commands, interruption, and rollback. It must make coordination legible, which means that conflicts and attributions are recorded as first-class events rather than inferred after the fact. And it must be reproducible by someone outside the team, which means pinned dependencies, frozen contracts, versioned data, and a single evaluation path.</w:t>
      </w:r>
    </w:p>
    <w:p>
      <w:pPr>
        <w:spacing w:after="120" w:line="276"/>
        <w:jc w:val="both"/>
      </w:pPr>
      <w:r>
        <w:rPr>
          <w:rFonts w:ascii="Times New Roman" w:cs="Times New Roman" w:eastAsia="Times New Roman" w:hAnsi="Times New Roman"/>
          <w:sz w:val="22"/>
          <w:szCs w:val="22"/>
        </w:rPr>
        <w:t xml:space="preserve">Success is decided by numbers rather than by demonstration. The criteria below are the acceptance thresholds for DATA 298A and DATA 298B. Every reported number is the mean of three seeds with error bars, and all metrics are computed in the shared evaluation layer so that no component reports results through its own code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7"/>
        <w:gridCol w:w="3489"/>
        <w:gridCol w:w="2751"/>
        <w:gridCol w:w="1083"/>
      </w:tblGrid>
      <w:tr>
        <w:trPr>
          <w:tblHeader/>
        </w:trPr>
        <w:tc>
          <w:tcPr>
            <w:tcW w:type="dxa" w:w="20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Criterion</w:t>
            </w:r>
          </w:p>
        </w:tc>
        <w:tc>
          <w:tcPr>
            <w:tcW w:type="dxa" w:w="34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Threshold</w:t>
            </w:r>
          </w:p>
        </w:tc>
        <w:tc>
          <w:tcPr>
            <w:tcW w:type="dxa" w:w="27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Measured on</w:t>
            </w:r>
          </w:p>
        </w:tc>
        <w:tc>
          <w:tcPr>
            <w:tcW w:type="dxa" w:w="108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Semester</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 the published MAST judge pipeline</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within 0.02 of 0.94, F1 within 0.03 of 0.80, Cohen's kappa within 0.05 of 0.77</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Released human-annotated MAST traces, with sample size and 95% CIs reported</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Judge consistency at full scale</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Agreement reported against the released judge labels, no threshold claimed</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 1,642 annotated traces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1, session-state catch-up</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ROUGE-L at or above 28.2</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QMSum held-out split, three seeds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2, instruction attribution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at or above 0.75</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Held-out session-level test split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3, merge arbitration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at or above 0.70, and fewer harmful outcomes than last-writer-wins</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Held-out session-level test split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and audit completeness</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100% of replicas converge; 100% of scripted actions logged with all fields</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Eight-participant load test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Interruption latency</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halts within 2 s of an interrupt</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Scripted interruption runs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System-level comparison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Learned multiplayer exceeds single-player and rules-only on blinded task quality, catch-up accuracy, harmful-conflict rate, and cost</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with 95% CIs and ablations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bl>
    <w:p>
      <w:pPr>
        <w:spacing w:after="160" w:before="60"/>
        <w:jc w:val="center"/>
      </w:pPr>
      <w:r>
        <w:rPr>
          <w:rFonts w:ascii="Times New Roman" w:cs="Times New Roman" w:eastAsia="Times New Roman" w:hAnsi="Times New Roman"/>
          <w:i/>
          <w:iCs/>
          <w:sz w:val="20"/>
          <w:szCs w:val="20"/>
        </w:rPr>
        <w:t xml:space="preserve">Table 12. Business requirements expressed as numeric success criteria.</w:t>
      </w:r>
    </w:p>
    <w:p>
      <w:pPr>
        <w:spacing w:after="120" w:line="276"/>
        <w:jc w:val="both"/>
      </w:pPr>
      <w:r>
        <w:rPr>
          <w:rFonts w:ascii="Times New Roman" w:cs="Times New Roman" w:eastAsia="Times New Roman" w:hAnsi="Times New Roman"/>
          <w:sz w:val="22"/>
          <w:szCs w:val="22"/>
        </w:rPr>
        <w:t xml:space="preserve">Two of these deserve explanation because they are deliberately weaker than they might appear. The judge consistency criterion claims no threshold, because agreement against machine-generated labels measures pipeline fidelity rather than correctness and should not be mistaken for the published result. The Model 1 threshold is set at the scale of the published QMSum result rather than above it, because QMSum is supervision for this project and not a baseline to beat; the comparison establishes that our summarizer is competitive on a public task before it is applied to session state, which is the task we actually care about and for which no public benchmark exists.</w:t>
      </w:r>
    </w:p>
    <w:p>
      <w:pPr>
        <w:pStyle w:val="Heading3"/>
        <w:spacing w:after="80" w:before="160"/>
      </w:pPr>
      <w:r>
        <w:rPr>
          <w:rFonts w:ascii="Times New Roman" w:cs="Times New Roman" w:eastAsia="Times New Roman" w:hAnsi="Times New Roman"/>
          <w:b/>
          <w:bCs/>
          <w:i/>
          <w:iCs/>
          <w:sz w:val="22"/>
          <w:szCs w:val="22"/>
        </w:rPr>
        <w:t xml:space="preserve">2.2.3 Project Development Methodology</w:t>
      </w:r>
    </w:p>
    <w:p>
      <w:pPr>
        <w:spacing w:after="120" w:line="276"/>
        <w:jc w:val="both"/>
      </w:pPr>
      <w:r>
        <w:rPr>
          <w:rFonts w:ascii="Times New Roman" w:cs="Times New Roman" w:eastAsia="Times New Roman" w:hAnsi="Times New Roman"/>
          <w:sz w:val="22"/>
          <w:szCs w:val="22"/>
        </w:rPr>
        <w:t xml:space="preserve">Work is organised as an intelligent system development life cycle in which every stage carries an exit check, and failure at an early stage invalidates the work downstream of it. The cycle is iterative: evaluation results feed back into data and model work rather than terminating the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3"/>
        <w:gridCol w:w="1942"/>
        <w:gridCol w:w="3722"/>
        <w:gridCol w:w="2973"/>
      </w:tblGrid>
      <w:tr>
        <w:trPr>
          <w:tblHeader/>
        </w:trPr>
        <w:tc>
          <w:tcPr>
            <w:tcW w:type="dxa" w:w="7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t>
            </w:r>
          </w:p>
        </w:tc>
        <w:tc>
          <w:tcPr>
            <w:tcW w:type="dxa" w:w="19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Stage</w:t>
            </w:r>
          </w:p>
        </w:tc>
        <w:tc>
          <w:tcPr>
            <w:tcW w:type="dxa" w:w="37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Activities</w:t>
            </w:r>
          </w:p>
        </w:tc>
        <w:tc>
          <w:tcPr>
            <w:tcW w:type="dxa" w:w="29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Exit check</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Problem definition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Select topic, translate the product problem into measurable research questions, set success criteria</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and proposal accepted</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Literature and baseline</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Review papers, select one published baseline and identify the exact reported values to reproduce</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and target numbers fixed: Table 2 of [3], row </w:t>
            </w:r>
            <w:r>
              <w:rPr>
                <w:rFonts w:ascii="Times New Roman" w:cs="Times New Roman" w:eastAsia="Times New Roman" w:hAnsi="Times New Roman"/>
                <w:i/>
                <w:iCs/>
                <w:sz w:val="18"/>
                <w:szCs w:val="18"/>
              </w:rPr>
              <w:t xml:space="preserve">o1 (few shot)</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engineering</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Collect, audit, pre-process, annotate, split, and compute statistics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manifest and splits</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reproduction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Environment, dataset, prompt, parser, batch execution, provenance, metrics, comparison</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Within the tolerances stated in Table 12</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development</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Train and tune M1, then M2 to M4, against candidates and baselines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Targets met or shortfall documented</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 integration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Connect client, session service, runtime, and models through frozen interfaces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End-to-end smoke test</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seeds, confidence intervals, ablations, failure analysis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Reviewed comparative analysis</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Deployment and reporting</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 deployment, final report, demo, and presentation</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Course deliverables submitted</w:t>
            </w:r>
          </w:p>
        </w:tc>
      </w:tr>
    </w:tbl>
    <w:p>
      <w:pPr>
        <w:spacing w:after="160" w:before="60"/>
        <w:jc w:val="center"/>
      </w:pPr>
      <w:r>
        <w:rPr>
          <w:rFonts w:ascii="Times New Roman" w:cs="Times New Roman" w:eastAsia="Times New Roman" w:hAnsi="Times New Roman"/>
          <w:i/>
          <w:iCs/>
          <w:sz w:val="20"/>
          <w:szCs w:val="20"/>
        </w:rPr>
        <w:t xml:space="preserve">Table 13. Intelligent system development life cycle.</w:t>
      </w:r>
    </w:p>
    <w:p>
      <w:pPr>
        <w:spacing w:after="120" w:line="276"/>
        <w:jc w:val="both"/>
      </w:pPr>
      <w:r>
        <w:rPr>
          <w:rFonts w:ascii="Times New Roman" w:cs="Times New Roman" w:eastAsia="Times New Roman" w:hAnsi="Times New Roman"/>
          <w:sz w:val="22"/>
          <w:szCs w:val="22"/>
        </w:rPr>
        <w:t xml:space="preserve">Development proceeds through frozen contracts, so that components owned by different people can be built in parallel against interfaces rather than against each other's code. Interface changes require an architecture decision record before implementation, and ADR-001 freezes the SessionEvent schema and the OpenAPI surface for exactly this reason. Each component has a single named owner, pull requests are reviewed before merge, and continuous integration runs linting and tests against pinned dependencies. Each reproduction stage is validated before the next begins, and artifacts are frozen before final runs.</w:t>
      </w:r>
    </w:p>
    <w:p>
      <w:pPr>
        <w:spacing w:after="120" w:line="276"/>
        <w:jc w:val="both"/>
      </w:pPr>
      <w:r>
        <w:rPr>
          <w:rFonts w:ascii="Times New Roman" w:cs="Times New Roman" w:eastAsia="Times New Roman" w:hAnsi="Times New Roman"/>
          <w:sz w:val="22"/>
          <w:szCs w:val="22"/>
        </w:rPr>
        <w:t xml:space="preserve">Project tracking uses a single Linear team, DAT, configured as the course requires. Both the instructor and the ISA are invited as administrators and have been since 9 September 2026. Cycles are two weeks long without exception: cycle 1 ran from 9 to 23 September, cycle 2 from 23 September to 7 October, cycle 3 from 7 to 21 October, and cycle 4 from 21 October to 4 November. Every issue carries exactly one named assignee, so individual contribution is attributable without interpretation, and each issue records its objective, the work required, explicit acceptance criteria, the evidence required for closure, a named reviewer, and its dependencies on other issues. The baseline reproduction is decomposed this way into sixteen issues, DAT-25 through DAT-41, with the dependency chain stated on each. Closed issues carry a linked artifact, which is a commit, a pull request, or a branch comparison, so that any completed claim can be followed to the work that substantiates it.</w:t>
      </w:r>
    </w:p>
    <w:p>
      <w:pPr>
        <w:pStyle w:val="Heading3"/>
        <w:spacing w:after="80" w:before="160"/>
      </w:pPr>
      <w:r>
        <w:rPr>
          <w:rFonts w:ascii="Times New Roman" w:cs="Times New Roman" w:eastAsia="Times New Roman" w:hAnsi="Times New Roman"/>
          <w:b/>
          <w:bCs/>
          <w:i/>
          <w:iCs/>
          <w:sz w:val="22"/>
          <w:szCs w:val="22"/>
        </w:rPr>
        <w:t xml:space="preserve">2.2.4 Project Organization Plan</w:t>
      </w:r>
    </w:p>
    <w:p>
      <w:pPr>
        <w:spacing w:after="120" w:line="276"/>
        <w:jc w:val="both"/>
      </w:pPr>
      <w:r>
        <w:rPr>
          <w:rFonts w:ascii="Times New Roman" w:cs="Times New Roman" w:eastAsia="Times New Roman" w:hAnsi="Times New Roman"/>
          <w:sz w:val="22"/>
          <w:szCs w:val="22"/>
        </w:rPr>
        <w:t xml:space="preserve">Ownership follows the roles agreed on 9 September 2026: Ayush as Tech Lead, Naman as Data Lead, Manav as Client Lead, Shriram as Runtime Lead, and Pramod as MAST Baseline Lead and Evaluation Lead. Each member owns one system area and one AI workstream, which was a deliberate choice: on a five-person team the common failure is that one or two members do all the modelling while the rest write integration code. The work breakdown structure below decomposes the project into phases, deliverables, and work packages, and maps each package to the Linear issues that implement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3"/>
        <w:gridCol w:w="1030"/>
        <w:gridCol w:w="3297"/>
        <w:gridCol w:w="1900"/>
      </w:tblGrid>
      <w:tr>
        <w:trPr>
          <w:tblHeader/>
        </w:trPr>
        <w:tc>
          <w:tcPr>
            <w:tcW w:type="dxa" w:w="313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Work package</w:t>
            </w:r>
          </w:p>
        </w:tc>
        <w:tc>
          <w:tcPr>
            <w:tcW w:type="dxa" w:w="10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c>
          <w:tcPr>
            <w:tcW w:type="dxa" w:w="329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Deliverable</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Linear project / issue</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Topic selection and literature review</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Selected topic, baseline choice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1 planning</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Abstract and proposal presentation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slides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DAT-14, DAT-24</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1.3 Reports and workbooks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Reports, Workbooks, Final Report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DAT-11 (reporting)</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Repository, CI, dependency pinning</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Skeleton repository with CI</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DAT-5, DAT-6, DAT-7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 SessionEvent and OpenAPI contracts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interface contracts, ADR-001</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DAT-8</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Session service, control plane, serving, infrastructure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session service with audit trail, interruption, rollback</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DAT-9, DAT-10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2.4 React client, Yjs/CRDT editing, presence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Client application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DAT-15, DAT-16, DAT-17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2.5 LangGraph runtime and tool execution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runtime with five fixed tools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DAT-18, DAT-19, DAT-20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3.1 MAST dataset acquisition, schema, taxonomy, audit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Checksummed dataset, schema and taxonomy documentation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DAT-28, DAT-29</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3.2 Frozen evaluation manifest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Manifest with data IDs and checksums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3.3 Pilot corpus collection and double annotation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About 30 annotated sessions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DAT-21, DAT-22</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3.4 Pre-processing, splits, statistics, agreement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session-level splits, statistics report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 (298B scope)</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4.1 Environment and judge interface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Pinned environment, o1 few-shot judge path, clean smoke test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DAT-25, DAT-26, DAT-27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4.2 Prompt reconstruction, deterministic parser, disagreement viewer</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Versioned prompt, parser with tests, viewer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DAT-31, DAT-32, DAT-33</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4.3 Resumable batch runner, provenance, final runs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Run manifests, preserved result directories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DAT-34, DAT-35, DAT-36</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4.4 Metrics pipeline, published comparison, error analysis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Tested metrics, comparison-ready results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DAT-37, DAT-38, DAT-39</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4.5 Baseline decomposition, review, integration coordination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Sixteen Linear issues, reviewed integration action list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DAT-41</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5.1 M1 catch-up summarizer</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ModernBERT / Qwen / Gemma LoRA bake-off; winner by ROUGE-L</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DAT-13 (metric lock), cycle 5</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5.2 M2 intent attribution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cross-encoder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5.3 M3 merge arbitration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Cross-encoder with escalate option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DAT-40, then 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5.4 M4 decomposition and routing</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LLM planner with learned router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6.1 Shared evaluation harness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Seeds, error bars, metrics, ablation scripts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DAT-37, extended in 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6.2 Controlled study</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Single-player vs rules-only vs learned multiplayer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6.3 Failure study</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50+ categorized failures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bl>
    <w:p>
      <w:pPr>
        <w:spacing w:after="160" w:before="60"/>
        <w:jc w:val="center"/>
      </w:pPr>
      <w:r>
        <w:rPr>
          <w:rFonts w:ascii="Times New Roman" w:cs="Times New Roman" w:eastAsia="Times New Roman" w:hAnsi="Times New Roman"/>
          <w:i/>
          <w:iCs/>
          <w:sz w:val="20"/>
          <w:szCs w:val="20"/>
        </w:rPr>
        <w:t xml:space="preserve">Table 14. Work breakdown structure, with the Linear issues implementing each work package.</w:t>
      </w:r>
    </w:p>
    <w:p>
      <w:pPr>
        <w:pStyle w:val="Heading3"/>
        <w:spacing w:after="80" w:before="160"/>
      </w:pPr>
      <w:r>
        <w:rPr>
          <w:rFonts w:ascii="Times New Roman" w:cs="Times New Roman" w:eastAsia="Times New Roman" w:hAnsi="Times New Roman"/>
          <w:b/>
          <w:bCs/>
          <w:i/>
          <w:iCs/>
          <w:sz w:val="22"/>
          <w:szCs w:val="22"/>
        </w:rPr>
        <w:t xml:space="preserve">2.2.5 Scope Management and Prioritization Plan</w:t>
      </w:r>
    </w:p>
    <w:p>
      <w:pPr>
        <w:spacing w:after="120" w:line="276"/>
        <w:jc w:val="both"/>
      </w:pPr>
      <w:r>
        <w:rPr>
          <w:rFonts w:ascii="Times New Roman" w:cs="Times New Roman" w:eastAsia="Times New Roman" w:hAnsi="Times New Roman"/>
          <w:sz w:val="22"/>
          <w:szCs w:val="22"/>
        </w:rPr>
        <w:t xml:space="preserve">Scope is divided between the two semesters on a single principle: DATA 298A delivers everything that later work depends on, and DATA 298B delivers the results that depend on it. In scope for DATA 298A are the data pipeline with frozen manifests and splits, the cloud-deployed prototype with roles, ordered agent commands, audit trail, interruption and rollback across five fixed tools, the reproduced MAST baseline, the shared evaluation harness, and Model 1. In scope for DATA 298B are Models 2 through 4, the pilot corpus at full size, the controlled study comparing single-player, rules-only, and learned multiplayer conditions, and the categorized failure analysis.</w:t>
      </w:r>
    </w:p>
    <w:p>
      <w:pPr>
        <w:spacing w:after="120" w:line="276"/>
        <w:jc w:val="both"/>
      </w:pPr>
      <w:r>
        <w:rPr>
          <w:rFonts w:ascii="Times New Roman" w:cs="Times New Roman" w:eastAsia="Times New Roman" w:hAnsi="Times New Roman"/>
          <w:sz w:val="22"/>
          <w:szCs w:val="22"/>
        </w:rPr>
        <w:t xml:space="preserve">Several things are explicitly out of scope, and naming them matters as much as naming what is in. The project does not attempt a general-purpose agent framework; it uses five fixed tools so that interruption and rollback can be specified exactly. It does not attempt to beat the state of the art in summarization or classification in the abstract, only to meet the stated thresholds on our own session-level task. It does not collect audio or video, only event logs. It does not recruit participants from outside the team until the IRB question raised in cycle 1 is answered. And the reproduced baseline is not a fifth model: MAST is the external reference point against which our evaluation tooling is validated, and it is never reported as a contribution of this project.</w:t>
      </w:r>
    </w:p>
    <w:p>
      <w:pPr>
        <w:spacing w:after="120" w:line="276"/>
        <w:jc w:val="both"/>
      </w:pPr>
      <w:r>
        <w:rPr>
          <w:rFonts w:ascii="Times New Roman" w:cs="Times New Roman" w:eastAsia="Times New Roman" w:hAnsi="Times New Roman"/>
          <w:sz w:val="22"/>
          <w:szCs w:val="22"/>
        </w:rPr>
        <w:t>When scope and schedule conflict, three rules decide. First, compute reliability outranks ambition. Primary training uses free ongoing university GPU lab access, but lab sessions can still be interrupted, so any plan depending on a single unbroken long training run is the least reliable part of it. This rule has already been applied once, and it is the single largest scoping decision the team has made: the reproduced baseline was moved away from a reproduction requiring full encoder-decoder fine-tuning, estimated at roughly twenty-five GPU-hours including debugging runs, to the MAST judge pipeline, which is inference only and needs no GPU at all. That moved the project's first hard result from December to October, and because everything downstream depends on having that result early, it reduced schedule risk rather than merely cost. The replacement is also from 2025 and addresses multi-agent failure directly, which is closer to this project's problem than meeting summarization. The change was made before any code was written, which is when such a change is free.</w:t>
      </w:r>
    </w:p>
    <w:p>
      <w:pPr>
        <w:spacing w:after="120" w:line="276"/>
        <w:jc w:val="both"/>
      </w:pPr>
      <w:r>
        <w:rPr>
          <w:rFonts w:ascii="Times New Roman" w:cs="Times New Roman" w:eastAsia="Times New Roman" w:hAnsi="Times New Roman"/>
          <w:sz w:val="22"/>
          <w:szCs w:val="22"/>
        </w:rPr>
        <w:t xml:space="preserve">Second, contracts outrank implementations. If a component is late, work depending on it proceeds against a stub matching the frozen interface rather than waiting, and the stub is replaced when the real component lands. Third, evidence outranks features. A feature that cannot be measured in the evaluation layer is deferred in favour of one that can, because the project is assessed on substantiated claims rather than on surface area.</w:t>
      </w:r>
    </w:p>
    <w:p>
      <w:pPr>
        <w:pStyle w:val="Heading3"/>
        <w:spacing w:after="80" w:before="160"/>
      </w:pPr>
      <w:r>
        <w:rPr>
          <w:rFonts w:ascii="Times New Roman" w:cs="Times New Roman" w:eastAsia="Times New Roman" w:hAnsi="Times New Roman"/>
          <w:b/>
          <w:bCs/>
          <w:i/>
          <w:iCs/>
          <w:sz w:val="22"/>
          <w:szCs w:val="22"/>
        </w:rPr>
        <w:t xml:space="preserve">2.2.6 Risk, Issue, and Change Management</w:t>
      </w:r>
    </w:p>
    <w:p>
      <w:pPr>
        <w:spacing w:after="120" w:line="276"/>
        <w:jc w:val="both"/>
      </w:pPr>
      <w:r>
        <w:rPr>
          <w:rFonts w:ascii="Times New Roman" w:cs="Times New Roman" w:eastAsia="Times New Roman" w:hAnsi="Times New Roman"/>
          <w:sz w:val="22"/>
          <w:szCs w:val="22"/>
        </w:rPr>
        <w:t xml:space="preserve">Risks are tracked with an explicit trigger, so that the point at which a risk becomes an issue is decided in advance rather than argued about afterwards. When a trigger fires, the risk is raised as a Linear issue with a named owner, the mitigation is executed, and the change is recorded. Changes affecting an interface require an architecture decision record before implementation, and changes affecting a published claim are recorded in the report rather than quietly absorbed.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1"/>
        <w:gridCol w:w="1304"/>
        <w:gridCol w:w="2314"/>
        <w:gridCol w:w="2722"/>
        <w:gridCol w:w="819"/>
      </w:tblGrid>
      <w:tr>
        <w:trPr>
          <w:tblHeader/>
        </w:trPr>
        <w:tc>
          <w:tcPr>
            <w:tcW w:type="dxa" w:w="220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Risk</w:t>
            </w:r>
          </w:p>
        </w:tc>
        <w:tc>
          <w:tcPr>
            <w:tcW w:type="dxa" w:w="13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Likelihood / impact</w:t>
            </w:r>
          </w:p>
        </w:tc>
        <w:tc>
          <w:tcPr>
            <w:tcW w:type="dxa" w:w="23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Trigger</w:t>
            </w:r>
          </w:p>
        </w:tc>
        <w:tc>
          <w:tcPr>
            <w:tcW w:type="dxa" w:w="27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Mitigation</w:t>
            </w:r>
          </w:p>
        </w:tc>
        <w:tc>
          <w:tcPr>
            <w:tcW w:type="dxa" w:w="8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GPU lab sessions can be interrupted, so long training runs need durable checkpoints</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training run lost to a machine wipe before a checkpoint is written</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Adapter-only training and remote checkpointing so no run depends on local disk surviving; Colab only if the GPU lab is unavailable; baseline reproduction remains inference-only (API)</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MAST baseline does not reproduce within tolerance</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more than two points off the published 0.94 by cycle 4</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Investigate the prompt and the scoring code before the model, since that is the usual source of a gap, and confirm the judge is o1 with few-shot examples rather than zero-shot, which the paper reports at 0.89 and kappa 0.58. MultiAgentBench [17] is the documented fallback baseline, also from 2025 and also inference only. If neither closes the gap, report the discrepancy rather than tuning until the number matches</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human-annotated sample is too small for a precise agreement estimate</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Confidence intervals on the reproduced kappa that span the tolerance band</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the sample size and 95% CI beside every reproduced value, as the original paper does, and report full-scale agreement against the judge labels separately as a consistency check. Never present the two label sources as one result</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 few pilot sessions are collected to train Models 2 through 4</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Fewer than five recorded sessions by late October</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Fall back to internal-only sessions supplemented by synthesised conflict cases, produced by replaying recorded sessions with concurrent instructions injected. Weaker data, but unblocked</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Annotator disagreement on instruction attribution limits Model 2</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Cohen's kappa below the agreed floor on the first double-annotated batch</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kappa openly and treat it as the ceiling on achievable Model 2 performance rather than suppressing it. This is already identified as the expected limiting factor</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Recruiting participants from outside the team requires IRB approval</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determination that outside recruitment needs review</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Question raised in cycle 1 and still open; no recruitment outside the team until it is answered; internal sessions and synthetic replays cover the gap meanwhile</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Single-owner dependency chains stall downstream work</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blocking issue remains unstarted while issues depending on it are ready to begin</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Build against a stub matching the blocking component's frozen contract rather than waiting. Applied in cycle 2, when the batch runner and provenance work proceeded against a stub judge while the judge adapter was still open</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critical path has no slack</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integration gate slips past its cycle</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Protect the chain described in 2.4 by freezing interfaces early, so client, service, and runtime work in parallel rather than in sequence, and by keeping the baseline reproduction off that chain entirely. If the gate slips, session collection is shortened rather than the frozen-splits date moved, because the annotation and training work downstream cannot compress</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bl>
    <w:p>
      <w:pPr>
        <w:spacing w:after="160" w:before="60"/>
        <w:jc w:val="center"/>
      </w:pPr>
      <w:r>
        <w:rPr>
          <w:rFonts w:ascii="Times New Roman" w:cs="Times New Roman" w:eastAsia="Times New Roman" w:hAnsi="Times New Roman"/>
          <w:i/>
          <w:iCs/>
          <w:sz w:val="20"/>
          <w:szCs w:val="20"/>
        </w:rPr>
        <w:t xml:space="preserve">Table 15. Risk register.</w:t>
      </w:r>
    </w:p>
    <w:p>
      <w:pPr>
        <w:spacing w:after="120" w:line="276"/>
        <w:jc w:val="both"/>
      </w:pPr>
      <w:r>
        <w:rPr>
          <w:rFonts w:ascii="Times New Roman" w:cs="Times New Roman" w:eastAsia="Times New Roman" w:hAnsi="Times New Roman"/>
          <w:sz w:val="22"/>
          <w:szCs w:val="22"/>
        </w:rPr>
        <w:t xml:space="preserve">One risk has already materialised and is recorded here as a worked example, because it shows the process operating rather than merely described. The MAST reproduction depends on comparing our judge output against expert human annotation. The data audit conducted under DAT-30 established that the released human-annotated file contains nineteen records from the authors' inter-annotator agreement study, and that the taxonomy was revised between annotation rounds, which reduces the subset directly comparable under the final taxonomy further still. The audit concluded that this sample is too small to support a statistically precise agreement estimate against the published targets. Investigating the published method clarified why: the paper's own 94 percent accuracy and kappa of 0.77 are validated on a held-out subset of those same agreement studies, and the full human-annotated release is twenty-one traces. The small sample is therefore a property of the published work rather than a defect in our acquisition of it, and no larger human-annotated set exists to obtain.</w:t>
      </w:r>
    </w:p>
    <w:p>
      <w:pPr>
        <w:spacing w:after="120" w:line="276"/>
        <w:jc w:val="both"/>
      </w:pPr>
      <w:r>
        <w:rPr>
          <w:rFonts w:ascii="Times New Roman" w:cs="Times New Roman" w:eastAsia="Times New Roman" w:hAnsi="Times New Roman"/>
          <w:sz w:val="22"/>
          <w:szCs w:val="22"/>
        </w:rPr>
        <w:t xml:space="preserve">The response was to make the claim precise rather than to abandon or overstate it. The project reproduces the judge pipeline in the configuration the paper reports, compares against the released human annotations at the same scale the authors used, and reports the sample size and a 95 percent confidence interval beside every value. Separately, the reproduced judge is applied to all 1,642 traces and its agreement with the released judge labels is reported as a consistency check on our pipeline, explicitly not as a reproduction of the human-agreement result. To prevent the two label sources being conflated downstream, the reference source is recorded on every individual prediction produced by the batch runner, which is requirement DR-8.</w:t>
      </w:r>
    </w:p>
    <w:p>
      <w:pPr>
        <w:pStyle w:val="Heading3"/>
        <w:spacing w:after="80" w:before="160"/>
      </w:pPr>
      <w:r>
        <w:rPr>
          <w:rFonts w:ascii="Times New Roman" w:cs="Times New Roman" w:eastAsia="Times New Roman" w:hAnsi="Times New Roman"/>
          <w:b/>
          <w:bCs/>
          <w:i/>
          <w:iCs/>
          <w:sz w:val="22"/>
          <w:szCs w:val="22"/>
        </w:rPr>
        <w:t xml:space="preserve">2.2.7 Communication, Review, and Feedback Plan</w:t>
      </w:r>
    </w:p>
    <w:p>
      <w:pPr>
        <w:spacing w:after="120" w:line="276"/>
        <w:jc w:val="both"/>
      </w:pPr>
      <w:r>
        <w:rPr>
          <w:rFonts w:ascii="Times New Roman" w:cs="Times New Roman" w:eastAsia="Times New Roman" w:hAnsi="Times New Roman"/>
          <w:sz w:val="22"/>
          <w:szCs w:val="22"/>
        </w:rPr>
        <w:t xml:space="preserve">The team meets online over Zoom on a fixed cadence aligned to the two-week Linear cycles, with all five members attending, plus an integration review held on 1 October and the two formal Team Meetings as course milestones. Day-to-day coordination happens on the Linear issue itself rather than in side channels, which is deliberate: an issue thread keeps a discussion attached to the work it concerns and preserves it for the contribution record.</w:t>
      </w:r>
    </w:p>
    <w:p>
      <w:pPr>
        <w:spacing w:after="120" w:line="276"/>
        <w:jc w:val="both"/>
      </w:pPr>
      <w:r>
        <w:rPr>
          <w:rFonts w:ascii="Times New Roman" w:cs="Times New Roman" w:eastAsia="Times New Roman" w:hAnsi="Times New Roman"/>
          <w:sz w:val="22"/>
          <w:szCs w:val="22"/>
        </w:rPr>
        <w:t xml:space="preserve">Decisions are recorded in one of three places depending on what they bind. Decisions that change an interface are written as architecture decision records in the repository under </w:t>
      </w:r>
      <w:r>
        <w:rPr>
          <w:rFonts w:ascii="Times New Roman" w:cs="Times New Roman" w:eastAsia="Times New Roman" w:hAnsi="Times New Roman"/>
          <w:sz w:val="22"/>
          <w:szCs w:val="22"/>
        </w:rPr>
        <w:t xml:space="preserve">docs/decisions/</w:t>
      </w:r>
      <w:r>
        <w:rPr>
          <w:rFonts w:ascii="Times New Roman" w:cs="Times New Roman" w:eastAsia="Times New Roman" w:hAnsi="Times New Roman"/>
          <w:sz w:val="22"/>
          <w:szCs w:val="22"/>
        </w:rPr>
        <w:t xml:space="preserve">, and the repository rule is that an ADR must exist before the implementing code; ADR-001, which freezes the SessionEvent schema and the OpenAPI surface, is the current example. Decisions about scope, priority, or acceptance are recorded as comments on the Linear issue they affect, so that the rationale travels with the work. Decisions that change a reported claim are recorded in the report itself, because a claim that changed silently is indistinguishable from one that was wrong.</w:t>
      </w:r>
    </w:p>
    <w:p>
      <w:pPr>
        <w:spacing w:after="120" w:line="276"/>
        <w:jc w:val="both"/>
      </w:pPr>
      <w:r>
        <w:rPr>
          <w:rFonts w:ascii="Times New Roman" w:cs="Times New Roman" w:eastAsia="Times New Roman" w:hAnsi="Times New Roman"/>
          <w:sz w:val="22"/>
          <w:szCs w:val="22"/>
        </w:rPr>
        <w:t xml:space="preserve">Code review runs through pull requests on GitHub, with a named reviewer recorded on each Linear issue before work begins, so that review responsibility is assigned rather than volunteered. Continuous integration runs linting and tests against pinned dependencies on every pull request, and a pull request that fails CI is not considered reviewable.</w:t>
      </w:r>
    </w:p>
    <w:p>
      <w:pPr>
        <w:spacing w:after="120" w:line="276"/>
        <w:jc w:val="both"/>
      </w:pPr>
      <w:r>
        <w:rPr>
          <w:rFonts w:ascii="Times New Roman" w:cs="Times New Roman" w:eastAsia="Times New Roman" w:hAnsi="Times New Roman"/>
          <w:sz w:val="22"/>
          <w:szCs w:val="22"/>
        </w:rPr>
        <w:t xml:space="preserve">Feedback from the instructor and the ISA is tracked to closure by the same mechanism as any other work. Each item of feedback is entered as a Linear issue with a named assignee, acceptance criteria describing what addressing it means, and a linked artifact on closure, so that the response to feedback is auditable in the same way the original work is. Feedback affecting an interface or a published claim additionally follows the ADR or report path above. Because both the instructor and the ISA hold administrator access to the board, the status of every feedback item is visible to them without a separate report being prepared.</w:t>
      </w:r>
    </w:p>
    <w:p>
      <w:pPr>
        <w:pStyle w:val="Heading3"/>
        <w:spacing w:after="80" w:before="160"/>
      </w:pPr>
      <w:r>
        <w:rPr>
          <w:rFonts w:ascii="Times New Roman" w:cs="Times New Roman" w:eastAsia="Times New Roman" w:hAnsi="Times New Roman"/>
          <w:b/>
          <w:bCs/>
          <w:i/>
          <w:iCs/>
          <w:sz w:val="22"/>
          <w:szCs w:val="22"/>
        </w:rPr>
        <w:t xml:space="preserve">2.2.8 Applied Project Management for Business Problem Solving</w:t>
      </w:r>
    </w:p>
    <w:p>
      <w:pPr>
        <w:spacing w:after="120" w:line="276"/>
        <w:jc w:val="both"/>
      </w:pPr>
      <w:r>
        <w:rPr>
          <w:rFonts w:ascii="Times New Roman" w:cs="Times New Roman" w:eastAsia="Times New Roman" w:hAnsi="Times New Roman"/>
          <w:sz w:val="22"/>
          <w:szCs w:val="22"/>
        </w:rPr>
        <w:t xml:space="preserve">The plan described above is not aspirational, and the evidence is on the board and in the repository. Four examples show it operating, including the cases where it caught something.</w:t>
      </w:r>
    </w:p>
    <w:p>
      <w:pPr>
        <w:pStyle w:val="Heading3"/>
        <w:spacing w:after="80" w:before="160"/>
      </w:pPr>
      <w:r>
        <w:rPr>
          <w:rFonts w:ascii="Times New Roman" w:cs="Times New Roman" w:eastAsia="Times New Roman" w:hAnsi="Times New Roman"/>
          <w:b/>
          <w:bCs/>
          <w:i/>
          <w:iCs/>
          <w:sz w:val="22"/>
          <w:szCs w:val="22"/>
        </w:rPr>
        <w:t xml:space="preserve">Scoping against a real constraint</w:t>
      </w:r>
    </w:p>
    <w:p>
      <w:pPr>
        <w:spacing w:after="120" w:line="276"/>
        <w:jc w:val="both"/>
      </w:pPr>
      <w:r>
        <w:rPr>
          <w:rFonts w:ascii="Times New Roman" w:cs="Times New Roman" w:eastAsia="Times New Roman" w:hAnsi="Times New Roman"/>
          <w:sz w:val="22"/>
          <w:szCs w:val="22"/>
        </w:rPr>
        <w:t xml:space="preserve">The reproduced baseline was changed before any code was written, on the compute grounds described in 2.2.5. The decision moved the project's first hard result from December to October and removed the single largest dependency on unreliable infrastructure. It is recorded as a scoping decision rather than a correction, because the alternative was defending a reproduction the team could not reliably run.</w:t>
      </w:r>
    </w:p>
    <w:p>
      <w:pPr>
        <w:pStyle w:val="Heading3"/>
        <w:spacing w:after="80" w:before="160"/>
      </w:pPr>
      <w:r>
        <w:rPr>
          <w:rFonts w:ascii="Times New Roman" w:cs="Times New Roman" w:eastAsia="Times New Roman" w:hAnsi="Times New Roman"/>
          <w:b/>
          <w:bCs/>
          <w:i/>
          <w:iCs/>
          <w:sz w:val="22"/>
          <w:szCs w:val="22"/>
        </w:rPr>
        <w:t xml:space="preserve">Decomposition with explicit dependencies</w:t>
      </w:r>
    </w:p>
    <w:p>
      <w:pPr>
        <w:spacing w:after="120" w:line="276"/>
        <w:jc w:val="both"/>
      </w:pPr>
      <w:r>
        <w:rPr>
          <w:rFonts w:ascii="Times New Roman" w:cs="Times New Roman" w:eastAsia="Times New Roman" w:hAnsi="Times New Roman"/>
          <w:sz w:val="22"/>
          <w:szCs w:val="22"/>
        </w:rPr>
        <w:t xml:space="preserve">The baseline reproduction is broken into sixteen Linear issues, DAT-25 through DAT-41, each recording its objective, the work required, acceptance criteria, the evidence required for closure, a named reviewer, and the issues that block it. The dependency structure is real rather than decorative: the final evaluation runs under DAT-36 are blocked by the clean-environment validation under DAT-27, which is blocked by the judge interface under DAT-26, which is blocked by the pinned environment under DAT-25. Stating that chain in advance made the sequencing visible before it became a problem.</w:t>
      </w:r>
    </w:p>
    <w:p>
      <w:pPr>
        <w:pStyle w:val="Heading3"/>
        <w:spacing w:after="80" w:before="160"/>
      </w:pPr>
      <w:r>
        <w:rPr>
          <w:rFonts w:ascii="Times New Roman" w:cs="Times New Roman" w:eastAsia="Times New Roman" w:hAnsi="Times New Roman"/>
          <w:b/>
          <w:bCs/>
          <w:i/>
          <w:iCs/>
          <w:sz w:val="22"/>
          <w:szCs w:val="22"/>
        </w:rPr>
        <w:t xml:space="preserve">Parallel development against frozen contracts</w:t>
      </w:r>
    </w:p>
    <w:p>
      <w:pPr>
        <w:spacing w:after="120" w:line="276"/>
        <w:jc w:val="both"/>
      </w:pPr>
      <w:r>
        <w:rPr>
          <w:rFonts w:ascii="Times New Roman" w:cs="Times New Roman" w:eastAsia="Times New Roman" w:hAnsi="Times New Roman"/>
          <w:sz w:val="22"/>
          <w:szCs w:val="22"/>
        </w:rPr>
        <w:t xml:space="preserve">In cycle 2 the judge interface under DAT-26 was not yet available, which by the dependency chain above would have idled the batch execution and provenance work. Rather than wait, the resumable batch runner under DAT-34 and the run manifest work under DAT-35 were built and tested against a stub judge implementing the interface DAT-26 declares, and both were completed, reviewed, and evidenced within the cycle. The same principle underlies ADR-001: freezing the SessionEvent schema early allowed the client, the session service, and the agent runtime to be developed in parallel against the contract rather than against one another.</w:t>
      </w:r>
    </w:p>
    <w:p>
      <w:pPr>
        <w:pStyle w:val="Heading3"/>
        <w:spacing w:after="80" w:before="160"/>
      </w:pPr>
      <w:r>
        <w:rPr>
          <w:rFonts w:ascii="Times New Roman" w:cs="Times New Roman" w:eastAsia="Times New Roman" w:hAnsi="Times New Roman"/>
          <w:b/>
          <w:bCs/>
          <w:i/>
          <w:iCs/>
          <w:sz w:val="22"/>
          <w:szCs w:val="22"/>
        </w:rPr>
        <w:t xml:space="preserve">Validation that found defects rather than confirming expectations</w:t>
      </w:r>
    </w:p>
    <w:p>
      <w:pPr>
        <w:spacing w:after="120" w:line="276"/>
        <w:jc w:val="both"/>
      </w:pPr>
      <w:r>
        <w:rPr>
          <w:rFonts w:ascii="Times New Roman" w:cs="Times New Roman" w:eastAsia="Times New Roman" w:hAnsi="Times New Roman"/>
          <w:sz w:val="22"/>
          <w:szCs w:val="22"/>
        </w:rPr>
        <w:t xml:space="preserve">The acceptance criteria for the resumable batch runner required that an interrupted run resume without loss. Testing that criterion by killing a run mid-execution, rather than by asserting that the code looked correct, exposed two defects. The first silently lost one record on resume: a hard kill left the final line of the output file without a terminating newline, so the next append concatenated two records into one unparsable string, and the resumed run reported success while holding one record fewer than the uninterrupted run. The second recorded provenance paths with their first character removed, so a modified file was logged under a corrupted path. Both were fixed, both gained regression tests, and both are documented under </w:t>
      </w:r>
      <w:r>
        <w:rPr>
          <w:rFonts w:ascii="Times New Roman" w:cs="Times New Roman" w:eastAsia="Times New Roman" w:hAnsi="Times New Roman"/>
          <w:sz w:val="22"/>
          <w:szCs w:val="22"/>
        </w:rPr>
        <w:t xml:space="preserve">docs/verification/</w:t>
      </w:r>
      <w:r>
        <w:rPr>
          <w:rFonts w:ascii="Times New Roman" w:cs="Times New Roman" w:eastAsia="Times New Roman" w:hAnsi="Times New Roman"/>
          <w:sz w:val="22"/>
          <w:szCs w:val="22"/>
        </w:rPr>
        <w:t xml:space="preserve">. The first is the more instructive, because the original test had passed: it asserted on summary counts rather than on file contents, which is exactly the failure mode that acceptance criteria written as required evidence, rather than as intent, are meant to prevent.</w:t>
      </w:r>
    </w:p>
    <w:p>
      <w:pPr>
        <w:pStyle w:val="Heading2"/>
        <w:spacing w:after="100" w:before="220"/>
      </w:pPr>
      <w:r>
        <w:rPr>
          <w:rFonts w:ascii="Times New Roman" w:cs="Times New Roman" w:eastAsia="Times New Roman" w:hAnsi="Times New Roman"/>
          <w:b/>
          <w:bCs/>
          <w:sz w:val="24"/>
          <w:szCs w:val="24"/>
        </w:rPr>
        <w:t xml:space="preserve">2.3 Project Resource Requirements and Plan</w:t>
      </w:r>
    </w:p>
    <w:p>
      <w:pPr>
        <w:spacing w:after="120" w:line="276"/>
        <w:jc w:val="both"/>
      </w:pPr>
      <w:r>
        <w:rPr>
          <w:rFonts w:ascii="Times New Roman" w:cs="Times New Roman" w:eastAsia="Times New Roman" w:hAnsi="Times New Roman"/>
          <w:sz w:val="22"/>
          <w:szCs w:val="22"/>
        </w:rPr>
        <w:t xml:space="preserve">Costs below are planning estimates for the full two-semester project and will be updated in Workbook 2. Several tools are free for students or covered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2"/>
        <w:gridCol w:w="3507"/>
        <w:gridCol w:w="1588"/>
        <w:gridCol w:w="3063"/>
      </w:tblGrid>
      <w:tr>
        <w:trPr>
          <w:tblHeader/>
        </w:trPr>
        <w:tc>
          <w:tcPr>
            <w:tcW w:type="dxa" w:w="120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Category</w:t>
            </w:r>
          </w:p>
        </w:tc>
        <w:tc>
          <w:tcPr>
            <w:tcW w:type="dxa" w:w="35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Resource and specification</w:t>
            </w:r>
          </w:p>
        </w:tc>
        <w:tc>
          <w:tcPr>
            <w:tcW w:type="dxa" w:w="15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Est. cost (USD)</w:t>
            </w:r>
          </w:p>
        </w:tc>
        <w:tc>
          <w:tcPr>
            <w:tcW w:type="dxa" w:w="30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Justification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laptops (existing, personal)</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Development and client work</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University GPU lab access for adapter fine-tuning of M1 to M3 (estimate 60 GPU-hours wall time across 298A)</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Primary training compute. Free ongoing lab access. Quantity is adequate; continuity is the named risk, mitigated by adapter-only checkpoints.</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 VM and managed PostgreSQL for the session service and event log</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$20 to $40 per month</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prototype (FR-8)</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Python, PyTorch, Hugging Face Transformers and PEFT, ModernBERT, Qwen</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(open source)</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 M1 to M3</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Yjs, React, LangGraph, PostgreSQL</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(open source)</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state, client, runtime, control plane</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LLM API access (OpenRouter and/or OpenAI / Anthropic / equivalent CLI tools) for the o1-class MAST judge, the M4 planner, and prompted arms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Pay-as-you-go</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Inference-only baseline and prompted candidates. Costs tracked by receipt; no prepaid cloud GPU commitment.</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Colab (or equivalent), held only as a fallback if the GPU lab is unavailable</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$0 to $50 per month if invoked</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Fallback only; primary training is the university GPU lab</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Tools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GitHub (repository and CI), Linear (issue tracking), Zoom (meetings)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(free or university plans)</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Version control, tracking, and communication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Tools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Microsoft Word and Overleaf for reports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writing</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Licences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MAST-Data (CC-BY-4.0); QMSum (MIT, Yale-LILY)</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Public datasets for the baseline and for Model 1 supervision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Personnel</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Five team members; two annotators for the pilot corpus (team members)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Double annotation for agreement</w:t>
            </w:r>
          </w:p>
        </w:tc>
      </w:tr>
    </w:tbl>
    <w:p>
      <w:pPr>
        <w:spacing w:after="160" w:before="60"/>
        <w:jc w:val="center"/>
      </w:pPr>
      <w:r>
        <w:rPr>
          <w:rFonts w:ascii="Times New Roman" w:cs="Times New Roman" w:eastAsia="Times New Roman" w:hAnsi="Times New Roman"/>
          <w:i/>
          <w:iCs/>
          <w:sz w:val="20"/>
          <w:szCs w:val="20"/>
        </w:rPr>
        <w:t xml:space="preserve">Table 16. Hardware, software, tools, and licences with estimated costs and justification.</w:t>
      </w:r>
    </w:p>
    <w:p>
      <w:pPr>
        <w:pStyle w:val="Heading3"/>
        <w:spacing w:after="80" w:before="160"/>
      </w:pPr>
      <w:r>
        <w:rPr>
          <w:rFonts w:ascii="Times New Roman" w:cs="Times New Roman" w:eastAsia="Times New Roman" w:hAnsi="Times New Roman"/>
          <w:b/>
          <w:bCs/>
          <w:i/>
          <w:iCs/>
          <w:sz w:val="22"/>
          <w:szCs w:val="22"/>
        </w:rPr>
        <w:t xml:space="preserve">Compute budget</w:t>
      </w:r>
    </w:p>
    <w:p>
      <w:pPr>
        <w:spacing w:after="120" w:line="276"/>
        <w:jc w:val="both"/>
      </w:pPr>
      <w:r>
        <w:rPr>
          <w:rFonts w:ascii="Times New Roman" w:cs="Times New Roman" w:eastAsia="Times New Roman" w:hAnsi="Times New Roman"/>
          <w:sz w:val="22"/>
          <w:szCs w:val="22"/>
        </w:rPr>
        <w:t>What the project needs is roughly sixty GPU-hours of wall time across DATA 298A. Model 1 is the largest single item, since it is the only model trained in this semester. Models 2 and 3 are base-size encoders trained on a few thousand examples and require under two GPU-hours per seed, which at three seeds each is a small fraction of the total. The baseline reproduction requires no GPU time, because it is an inference-only pipeline whose cost is API calls rather than training.</w:t>
      </w:r>
    </w:p>
    <w:p>
      <w:pPr>
        <w:spacing w:after="120" w:line="276"/>
        <w:jc w:val="both"/>
      </w:pPr>
      <w:r>
        <w:rPr>
          <w:rFonts w:ascii="Times New Roman" w:cs="Times New Roman" w:eastAsia="Times New Roman" w:hAnsi="Times New Roman"/>
          <w:sz w:val="22"/>
          <w:szCs w:val="22"/>
        </w:rPr>
        <w:t>What the project has is free ongoing access to the university GPU lab. Adapter training for Model 1 and the later encoders runs there at $0 GPU cost. Lab sessions can still be interrupted, so continuity rather than capacity is the risk: training uses adapter-only methods, checkpoints are written off the local disk, and a wiped session costs at most the work since the last checkpoint. API use for the MAST judge and any prompted arms is pay-as-you-go through OpenRouter and/or OpenAI / Anthropic / equivalent CLI tools, with receipts retained. Colab is held only as a fallback if the GPU lab is unavailable, and the risk register records the trigger at which that fallback is invoked.</w:t>
      </w:r>
    </w:p>
    <w:p>
      <w:pPr>
        <w:pStyle w:val="Heading2"/>
        <w:spacing w:after="100" w:before="220"/>
      </w:pPr>
      <w:r>
        <w:rPr>
          <w:rFonts w:ascii="Times New Roman" w:cs="Times New Roman" w:eastAsia="Times New Roman" w:hAnsi="Times New Roman"/>
          <w:b/>
          <w:bCs/>
          <w:sz w:val="24"/>
          <w:szCs w:val="24"/>
        </w:rPr>
        <w:t xml:space="preserve">2.4 Project Schedule</w:t>
      </w:r>
    </w:p>
    <w:p>
      <w:pPr>
        <w:spacing w:after="120" w:line="276"/>
        <w:jc w:val="both"/>
      </w:pPr>
      <w:r>
        <w:rPr>
          <w:rFonts w:ascii="Times New Roman" w:cs="Times New Roman" w:eastAsia="Times New Roman" w:hAnsi="Times New Roman"/>
          <w:sz w:val="22"/>
          <w:szCs w:val="22"/>
        </w:rPr>
        <w:t xml:space="preserve">The schedule is organised around the seven two-week Linear cycles of DATA 298A. Cycle boundaries in the milestone table below are those configured on the Linear board, so that the written schedule and the tracking system cannot drift apart. Where the Gantt chart and the board disagree, the board is authoritative.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6"/>
        <w:gridCol w:w="3877"/>
        <w:gridCol w:w="1908"/>
        <w:gridCol w:w="1989"/>
      </w:tblGrid>
      <w:tr>
        <w:trPr>
          <w:tblHeader/>
        </w:trPr>
        <w:tc>
          <w:tcPr>
            <w:tcW w:type="dxa" w:w="15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Date</w:t>
            </w:r>
          </w:p>
        </w:tc>
        <w:tc>
          <w:tcPr>
            <w:tcW w:type="dxa" w:w="38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Milestone</w:t>
            </w:r>
          </w:p>
        </w:tc>
        <w:tc>
          <w:tcPr>
            <w:tcW w:type="dxa" w:w="19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Linear cycle</w:t>
            </w:r>
          </w:p>
        </w:tc>
        <w:tc>
          <w:tcPr>
            <w:tcW w:type="dxa" w:w="19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Cycle window</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24 Sep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 1</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2</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Sep to 7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Workbook 1 and integration gate</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2 closes</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Sep to 7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Meeting 1</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3 opens</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Oct to 21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4</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Oct to 4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Nov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Workbook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 Nov to 18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Nov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Meeting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 Nov to 18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Dec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Final report and slides</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7</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 Dec to 16 Dec</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 Dec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Project presentation</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7</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 Dec to 16 Dec</w:t>
            </w:r>
          </w:p>
        </w:tc>
      </w:tr>
    </w:tbl>
    <w:p>
      <w:pPr>
        <w:spacing w:after="160" w:before="60"/>
        <w:jc w:val="center"/>
      </w:pPr>
      <w:r>
        <w:rPr>
          <w:rFonts w:ascii="Times New Roman" w:cs="Times New Roman" w:eastAsia="Times New Roman" w:hAnsi="Times New Roman"/>
          <w:i/>
          <w:iCs/>
          <w:sz w:val="20"/>
          <w:szCs w:val="20"/>
        </w:rPr>
        <w:t xml:space="preserve">Table 17. Course milestones mapped to Linear cycles.</w:t>
      </w:r>
    </w:p>
    <w:p>
      <w:pPr>
        <w:spacing w:after="120" w:line="276"/>
        <w:jc w:val="both"/>
      </w:pPr>
      <w:r>
        <w:rPr>
          <w:rFonts w:ascii="Times New Roman" w:cs="Times New Roman" w:eastAsia="Times New Roman" w:hAnsi="Times New Roman"/>
          <w:sz w:val="22"/>
          <w:szCs w:val="22"/>
        </w:rPr>
        <w:t xml:space="preserve">Figure 1 is the Gantt chart for DATA 298A, with tasks, timeline, responsible team members, and the status of each deliverable. Figure 2 is the PERT chart, giving durations, earliest start and finish, slack, and the critical path.</w:t>
      </w:r>
    </w:p>
    <w:p>
      <w:pPr>
        <w:spacing w:after="60" w:before="120"/>
        <w:jc w:val="center"/>
      </w:pPr>
      <w:r>
        <w:drawing>
          <wp:inline distT="0" distB="0" distL="0" distR="0">
            <wp:extent cx="7239000" cy="4171950"/>
            <wp:effectExtent t="0" r="0" b="0" l="0"/>
            <wp:docPr id="1" name="/tmp/wb1/gantt.png" descr="/tmp/wb1/gantt.png" title="/tmp/wb1/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239000" cy="41719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Figure 1. Gantt chart (tasks, timeline, owners, and status).</w:t>
      </w:r>
    </w:p>
    <w:p>
      <w:pPr>
        <w:spacing w:after="60" w:before="120"/>
        <w:jc w:val="center"/>
      </w:pPr>
      <w:r>
        <w:drawing>
          <wp:inline distT="0" distB="0" distL="0" distR="0">
            <wp:extent cx="6572250" cy="3829050"/>
            <wp:effectExtent t="0" r="0" b="0" l="0"/>
            <wp:docPr id="1" name="/tmp/wb1/pert.png" descr="/tmp/wb1/pert.png" title="/tmp/wb1/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572250" cy="3829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Figure 2. PERT chart with durations, earliest start and finish, slack, and critical path.</w:t>
      </w:r>
    </w:p>
    <w:p>
      <w:pPr>
        <w:pStyle w:val="Heading3"/>
        <w:spacing w:after="80" w:before="160"/>
      </w:pPr>
      <w:r>
        <w:rPr>
          <w:rFonts w:ascii="Times New Roman" w:cs="Times New Roman" w:eastAsia="Times New Roman" w:hAnsi="Times New Roman"/>
          <w:b/>
          <w:bCs/>
          <w:i/>
          <w:iCs/>
          <w:sz w:val="22"/>
          <w:szCs w:val="22"/>
        </w:rPr>
        <w:t xml:space="preserve">Critical path</w:t>
      </w:r>
    </w:p>
    <w:p>
      <w:pPr>
        <w:spacing w:after="120" w:line="276"/>
        <w:jc w:val="both"/>
      </w:pPr>
      <w:r>
        <w:rPr>
          <w:rFonts w:ascii="Times New Roman" w:cs="Times New Roman" w:eastAsia="Times New Roman" w:hAnsi="Times New Roman"/>
          <w:sz w:val="22"/>
          <w:szCs w:val="22"/>
        </w:rPr>
        <w:t xml:space="preserve">The chain with no slack runs from freezing the event schema, through the integration gate at which client, session service, and runtime run one end-to-end session, into session collection, then the freezing of labelled splits, and finally the controlled study and defence. Every link in that chain is a precondition for the next and none can be compressed: sessions cannot be recorded until the system runs end to end, annotation cannot begin until sessions exist, splits cannot be frozen until annotation is complete, and the study cannot run against unfrozen splits. A slip at the integration gate therefore propagates to the defence, which is why interfaces were frozen early and why the three components on either side of the gate are developed in parallel against contracts rather than in sequence.</w:t>
      </w:r>
    </w:p>
    <w:p>
      <w:pPr>
        <w:spacing w:after="120" w:line="276"/>
        <w:jc w:val="both"/>
      </w:pPr>
      <w:r>
        <w:rPr>
          <w:rFonts w:ascii="Times New Roman" w:cs="Times New Roman" w:eastAsia="Times New Roman" w:hAnsi="Times New Roman"/>
          <w:sz w:val="22"/>
          <w:szCs w:val="22"/>
        </w:rPr>
        <w:t xml:space="preserve">The baseline reproduction is deliberately not on this chain. Although it is the project's first hard result and is sequenced early, it depends only on public data and inference, so a slip there delays a reported number without blocking the corpus, the models, or the study. Keeping it off the critical path was one objective of moving to an inference-only baseline. Within the reproduction, work is itself sequenced: the environment and judge interface precede batch execution and provenance, which precede the final runs, which precede metrics and the published comparison.</w:t>
      </w:r>
    </w:p>
    <w:p>
      <w:pPr>
        <w:pStyle w:val="Heading1"/>
        <w:spacing w:after="140" w:before="28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2"/>
          <w:szCs w:val="22"/>
        </w:rPr>
        <w:t xml:space="preserve">[1] Y Combinator, "Requests for Startups, Fall 2026," 2026. [Online]. Available: https://www.ycombinator.com/rfs</w:t>
      </w:r>
    </w:p>
    <w:p>
      <w:pPr>
        <w:spacing w:after="120" w:line="276"/>
        <w:jc w:val="both"/>
      </w:pPr>
      <w:r>
        <w:rPr>
          <w:rFonts w:ascii="Times New Roman" w:cs="Times New Roman" w:eastAsia="Times New Roman" w:hAnsi="Times New Roman"/>
          <w:sz w:val="22"/>
          <w:szCs w:val="22"/>
        </w:rPr>
        <w:t xml:space="preserve">[2] M. Zhong et al., "QMSum: A new benchmark for query-based multi-domain meeting summarization," in Proc. 2021 Conf. North Amer. Chapter Assoc. Comput. Linguistics: Human Language Technologies (NAACL-HLT), 2021, pp. 5905-5921.</w:t>
      </w:r>
    </w:p>
    <w:p>
      <w:pPr>
        <w:spacing w:after="120" w:line="276"/>
        <w:jc w:val="both"/>
      </w:pPr>
      <w:r>
        <w:rPr>
          <w:rFonts w:ascii="Times New Roman" w:cs="Times New Roman" w:eastAsia="Times New Roman" w:hAnsi="Times New Roman"/>
          <w:sz w:val="22"/>
          <w:szCs w:val="22"/>
        </w:rPr>
        <w:t xml:space="preserve">[3] M. Cemri et al., "Why do multi-agent LLM systems fail?" in Advances in Neural Information Processing Systems 38, Datasets and Benchmarks Track, 2025.</w:t>
      </w:r>
    </w:p>
    <w:p>
      <w:pPr>
        <w:spacing w:after="120" w:line="276"/>
        <w:jc w:val="both"/>
      </w:pPr>
      <w:r>
        <w:rPr>
          <w:rFonts w:ascii="Times New Roman" w:cs="Times New Roman" w:eastAsia="Times New Roman" w:hAnsi="Times New Roman"/>
          <w:sz w:val="22"/>
          <w:szCs w:val="22"/>
        </w:rPr>
        <w:t xml:space="preserve">[4] C. A. Ellis and S. J. Gibbs, "Concurrency control in groupware systems," in Proc. ACM SIGMOD Int. Conf. Manage. Data, 1989, pp. 399-407.</w:t>
      </w:r>
    </w:p>
    <w:p>
      <w:pPr>
        <w:spacing w:after="120" w:line="276"/>
        <w:jc w:val="both"/>
      </w:pPr>
      <w:r>
        <w:rPr>
          <w:rFonts w:ascii="Times New Roman" w:cs="Times New Roman" w:eastAsia="Times New Roman" w:hAnsi="Times New Roman"/>
          <w:sz w:val="22"/>
          <w:szCs w:val="22"/>
        </w:rPr>
        <w:t xml:space="preserve">[5] M. Shapiro, N. Preguica, C. Baquero, and M. Zawirski, "Conflict-free replicated data types," in Proc. Int. Symp. Stabilization, Safety, and Security of Distributed Systems (SSS), 2011, pp. 386-400.</w:t>
      </w:r>
    </w:p>
    <w:p>
      <w:pPr>
        <w:spacing w:after="120" w:line="276"/>
        <w:jc w:val="both"/>
      </w:pPr>
      <w:r>
        <w:rPr>
          <w:rFonts w:ascii="Times New Roman" w:cs="Times New Roman" w:eastAsia="Times New Roman" w:hAnsi="Times New Roman"/>
          <w:sz w:val="22"/>
          <w:szCs w:val="22"/>
        </w:rPr>
        <w:t xml:space="preserve">[6] P. Nicolaescu, K. Jahns, M. Derntl, and R. Klamma, "Near real-time peer-to-peer shared editing on extensible data types," in Proc. ACM Int. Conf. Supporting Group Work (GROUP), 2016, pp. 39-49.</w:t>
      </w:r>
    </w:p>
    <w:p>
      <w:pPr>
        <w:spacing w:after="120" w:line="276"/>
        <w:jc w:val="both"/>
      </w:pPr>
      <w:r>
        <w:rPr>
          <w:rFonts w:ascii="Times New Roman" w:cs="Times New Roman" w:eastAsia="Times New Roman" w:hAnsi="Times New Roman"/>
          <w:sz w:val="22"/>
          <w:szCs w:val="22"/>
        </w:rPr>
        <w:t xml:space="preserve">[7] Q. Wu et al., "AutoGen: Enabling next-gen LLM applications via multi-agent conversation," arXiv:2308.08155, 2023.</w:t>
      </w:r>
    </w:p>
    <w:p>
      <w:pPr>
        <w:spacing w:after="120" w:line="276"/>
        <w:jc w:val="both"/>
      </w:pPr>
      <w:r>
        <w:rPr>
          <w:rFonts w:ascii="Times New Roman" w:cs="Times New Roman" w:eastAsia="Times New Roman" w:hAnsi="Times New Roman"/>
          <w:sz w:val="22"/>
          <w:szCs w:val="22"/>
        </w:rPr>
        <w:t xml:space="preserve">[8] M. Lewis et al., "BART: Denoising sequence-to-sequence pre-training for natural language generation, translation, and comprehension," in Proc. 58th Annu. Meeting Assoc. Comput. Linguistics (ACL), 2020, pp. 7871-7880.</w:t>
      </w:r>
    </w:p>
    <w:p>
      <w:pPr>
        <w:spacing w:after="120" w:line="276"/>
        <w:jc w:val="both"/>
      </w:pPr>
      <w:r>
        <w:rPr>
          <w:rFonts w:ascii="Times New Roman" w:cs="Times New Roman" w:eastAsia="Times New Roman" w:hAnsi="Times New Roman"/>
          <w:sz w:val="22"/>
          <w:szCs w:val="22"/>
        </w:rPr>
        <w:t xml:space="preserve">[9] H. W. Chung et al., "Scaling instruction-finetuned language models," J. Mach. Learn. Res., vol. 25, no. 70, pp. 1-53, 2024.</w:t>
      </w:r>
    </w:p>
    <w:p>
      <w:pPr>
        <w:spacing w:after="120" w:line="276"/>
        <w:jc w:val="both"/>
      </w:pPr>
      <w:r>
        <w:rPr>
          <w:rFonts w:ascii="Times New Roman" w:cs="Times New Roman" w:eastAsia="Times New Roman" w:hAnsi="Times New Roman"/>
          <w:sz w:val="22"/>
          <w:szCs w:val="22"/>
        </w:rPr>
        <w:t xml:space="preserve">[10] E. J. Hu et al., "LoRA: Low-rank adaptation of large language models," in Proc. Int. Conf. Learn. Representations (ICLR), 2022.</w:t>
      </w:r>
    </w:p>
    <w:p>
      <w:pPr>
        <w:spacing w:after="120" w:line="276"/>
        <w:jc w:val="both"/>
      </w:pPr>
      <w:r>
        <w:rPr>
          <w:rFonts w:ascii="Times New Roman" w:cs="Times New Roman" w:eastAsia="Times New Roman" w:hAnsi="Times New Roman"/>
          <w:sz w:val="22"/>
          <w:szCs w:val="22"/>
        </w:rPr>
        <w:t xml:space="preserve">[11] P. He, J. Gao, and W. Chen, "DeBERTaV3: Improving DeBERTa using ELECTRA-style pre-training with gradient-disentangled embedding sharing," in Proc. Int. Conf. Learn. Representations (ICLR), 2023.</w:t>
      </w:r>
    </w:p>
    <w:p>
      <w:pPr>
        <w:spacing w:after="120" w:line="276"/>
        <w:jc w:val="both"/>
      </w:pPr>
      <w:r>
        <w:rPr>
          <w:rFonts w:ascii="Times New Roman" w:cs="Times New Roman" w:eastAsia="Times New Roman" w:hAnsi="Times New Roman"/>
          <w:sz w:val="22"/>
          <w:szCs w:val="22"/>
        </w:rPr>
        <w:t xml:space="preserve">[12] S. Hong et al., "MetaGPT: Meta programming for a multi-agent collaborative framework," in Proc. Int. Conf. Learn. Representations (ICLR), 2024.</w:t>
      </w:r>
    </w:p>
    <w:p>
      <w:pPr>
        <w:spacing w:after="120" w:line="276"/>
        <w:jc w:val="both"/>
      </w:pPr>
      <w:r>
        <w:rPr>
          <w:rFonts w:ascii="Times New Roman" w:cs="Times New Roman" w:eastAsia="Times New Roman" w:hAnsi="Times New Roman"/>
          <w:sz w:val="22"/>
          <w:szCs w:val="22"/>
        </w:rPr>
        <w:t xml:space="preserve">[13] LangChain, "LangGraph documentation." [Online]. Available: https://langchain-ai.github.io/langgraph/</w:t>
      </w:r>
    </w:p>
    <w:p>
      <w:pPr>
        <w:spacing w:after="120" w:line="276"/>
        <w:jc w:val="both"/>
      </w:pPr>
      <w:r>
        <w:rPr>
          <w:rFonts w:ascii="Times New Roman" w:cs="Times New Roman" w:eastAsia="Times New Roman" w:hAnsi="Times New Roman"/>
          <w:sz w:val="22"/>
          <w:szCs w:val="22"/>
        </w:rPr>
        <w:t xml:space="preserve">[14] CrewAI, "CrewAI documentation." [Online]. Available: https://docs.crewai.com</w:t>
      </w:r>
    </w:p>
    <w:p>
      <w:pPr>
        <w:spacing w:after="120" w:line="276"/>
        <w:jc w:val="both"/>
      </w:pPr>
      <w:r>
        <w:rPr>
          <w:rFonts w:ascii="Times New Roman" w:cs="Times New Roman" w:eastAsia="Times New Roman" w:hAnsi="Times New Roman"/>
          <w:sz w:val="22"/>
          <w:szCs w:val="22"/>
        </w:rPr>
        <w:t xml:space="preserve">[15] B. Warner et al., "Smarter, better, faster, longer: A modern bidirectional encoder for fast, memory efficient, and long context finetuning and inference," arXiv:2412.13663, 2024.</w:t>
      </w:r>
    </w:p>
    <w:p>
      <w:pPr>
        <w:spacing w:after="120" w:line="276"/>
        <w:jc w:val="both"/>
      </w:pPr>
      <w:r>
        <w:rPr>
          <w:rFonts w:ascii="Times New Roman" w:cs="Times New Roman" w:eastAsia="Times New Roman" w:hAnsi="Times New Roman"/>
          <w:sz w:val="22"/>
          <w:szCs w:val="22"/>
        </w:rPr>
        <w:t>[16] A. Yang et al., "Qwen3 technical report," arXiv:2505.09388, 2025. (Project configs use Qwen3.5-4B instruct weights.)</w:t>
      </w:r>
    </w:p>
    <w:p>
      <w:pPr>
        <w:spacing w:after="120" w:line="276"/>
        <w:jc w:val="both"/>
      </w:pPr>
      <w:r>
        <w:rPr>
          <w:rFonts w:ascii="Times New Roman" w:cs="Times New Roman" w:eastAsia="Times New Roman" w:hAnsi="Times New Roman"/>
          <w:sz w:val="22"/>
          <w:szCs w:val="22"/>
        </w:rPr>
        <w:t xml:space="preserve">[17] K. Zhu et al., "MultiAgentBench: Evaluating the collaboration and competition of LLM agents," arXiv:2503.01935, 2025.</w:t>
      </w:r>
    </w:p>
    <w:p>
      <w:pPr>
        <w:pStyle w:val="Heading1"/>
        <w:spacing w:after="140" w:before="280"/>
      </w:pPr>
      <w:r>
        <w:rPr>
          <w:rFonts w:ascii="Times New Roman" w:cs="Times New Roman" w:eastAsia="Times New Roman" w:hAnsi="Times New Roman"/>
          <w:b/>
          <w:bCs/>
          <w:sz w:val="28"/>
          <w:szCs w:val="28"/>
        </w:rPr>
        <w:t xml:space="preserve">Submission checklist (not part of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41"/>
        <w:gridCol w:w="1519"/>
      </w:tblGrid>
      <w:tr>
        <w:trPr>
          <w:tblHeader/>
        </w:trPr>
        <w:tc>
          <w:tcPr>
            <w:tcW w:type="dxa" w:w="784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Check</w:t>
            </w:r>
          </w:p>
        </w:tc>
        <w:tc>
          <w:tcPr>
            <w:tcW w:type="dxa" w:w="15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Yes / No</w:t>
            </w:r>
          </w:p>
        </w:tc>
      </w:tr>
      <w:tr>
        <w:trPr>
          <w:cantSplit/>
        </w:trPr>
        <w:tc>
          <w:tcPr>
            <w:tcW w:type="dxa" w:w="7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section above is written as report prose, not as notes</w:t>
            </w:r>
          </w:p>
        </w:tc>
        <w:tc>
          <w:tcPr>
            <w:tcW w:type="dxa" w:w="15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r>
      <w:tr>
        <w:trPr>
          <w:cantSplit/>
        </w:trPr>
        <w:tc>
          <w:tcPr>
            <w:tcW w:type="dxa" w:w="7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claim links to a commit, run, dataset version or Linear issue</w:t>
            </w:r>
          </w:p>
        </w:tc>
        <w:tc>
          <w:tcPr>
            <w:tcW w:type="dxa" w:w="15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r>
        <w:trPr>
          <w:cantSplit/>
        </w:trPr>
        <w:tc>
          <w:tcPr>
            <w:tcW w:type="dxa" w:w="7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figure names the script or notebook that produced it</w:t>
            </w:r>
          </w:p>
        </w:tc>
        <w:tc>
          <w:tcPr>
            <w:tcW w:type="dxa" w:w="15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r>
        <w:trPr>
          <w:cantSplit/>
        </w:trPr>
        <w:tc>
          <w:tcPr>
            <w:tcW w:type="dxa" w:w="7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closed Linear issue for this period has a linked artifact</w:t>
            </w:r>
          </w:p>
        </w:tc>
        <w:tc>
          <w:tcPr>
            <w:tcW w:type="dxa" w:w="15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r>
        <w:trPr>
          <w:cantSplit/>
        </w:trPr>
        <w:tc>
          <w:tcPr>
            <w:tcW w:type="dxa" w:w="7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Each section names the team member who wrote it</w:t>
            </w:r>
          </w:p>
        </w:tc>
        <w:tc>
          <w:tcPr>
            <w:tcW w:type="dxa" w:w="15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r>
    </w:tbl>
    <w:p>
      <w:pPr>
        <w:pStyle w:val="Heading1"/>
        <w:spacing w:after="140" w:before="280"/>
      </w:pPr>
      <w:r>
        <w:rPr>
          <w:rFonts w:ascii="Times New Roman" w:cs="Times New Roman" w:eastAsia="Times New Roman" w:hAnsi="Times New Roman"/>
          <w:b/>
          <w:bCs/>
          <w:sz w:val="28"/>
          <w:szCs w:val="28"/>
        </w:rPr>
        <w:t xml:space="preserve">Self-assessment and gap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3"/>
        <w:gridCol w:w="1589"/>
        <w:gridCol w:w="3307"/>
        <w:gridCol w:w="1104"/>
        <w:gridCol w:w="1347"/>
      </w:tblGrid>
      <w:tr>
        <w:trPr>
          <w:tblHeader/>
        </w:trPr>
        <w:tc>
          <w:tcPr>
            <w:tcW w:type="dxa" w:w="20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Report section</w:t>
            </w:r>
          </w:p>
        </w:tc>
        <w:tc>
          <w:tcPr>
            <w:tcW w:type="dxa" w:w="15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Our rating</w:t>
            </w:r>
          </w:p>
        </w:tc>
        <w:tc>
          <w:tcPr>
            <w:tcW w:type="dxa" w:w="33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If below good: what is missing</w:t>
            </w:r>
          </w:p>
        </w:tc>
        <w:tc>
          <w:tcPr>
            <w:tcW w:type="dxa" w:w="11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c>
          <w:tcPr>
            <w:tcW w:type="dxa" w:w="134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Lands by</w:t>
            </w:r>
          </w:p>
        </w:tc>
      </w:tr>
      <w:tr>
        <w:trPr>
          <w:cantSplit/>
        </w:trPr>
        <w:tc>
          <w:tcPr>
            <w:tcW w:type="dxa" w:w="20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to 1.5</w:t>
            </w:r>
          </w:p>
        </w:tc>
        <w:tc>
          <w:tcPr>
            <w:tcW w:type="dxa" w:w="15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33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1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34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r>
        <w:trPr>
          <w:cantSplit/>
        </w:trPr>
        <w:tc>
          <w:tcPr>
            <w:tcW w:type="dxa" w:w="20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w:t>
            </w:r>
          </w:p>
        </w:tc>
        <w:tc>
          <w:tcPr>
            <w:tcW w:type="dxa" w:w="15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33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1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34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r>
        <w:trPr>
          <w:cantSplit/>
        </w:trPr>
        <w:tc>
          <w:tcPr>
            <w:tcW w:type="dxa" w:w="20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w:t>
            </w:r>
          </w:p>
        </w:tc>
        <w:tc>
          <w:tcPr>
            <w:tcW w:type="dxa" w:w="15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33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1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34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r>
        <w:trPr>
          <w:cantSplit/>
        </w:trPr>
        <w:tc>
          <w:tcPr>
            <w:tcW w:type="dxa" w:w="20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w:t>
            </w:r>
          </w:p>
        </w:tc>
        <w:tc>
          <w:tcPr>
            <w:tcW w:type="dxa" w:w="15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33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1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34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r>
        <w:trPr>
          <w:cantSplit/>
        </w:trPr>
        <w:tc>
          <w:tcPr>
            <w:tcW w:type="dxa" w:w="201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2.4</w:t>
            </w:r>
          </w:p>
        </w:tc>
        <w:tc>
          <w:tcPr>
            <w:tcW w:type="dxa" w:w="15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33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1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c>
          <w:tcPr>
            <w:tcW w:type="dxa" w:w="134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 ]</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w="http://schemas.openxmlformats.org/wordprocessingml/2006/main"/>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a35606cbc8cd4b03b520fef7c93b21d02fa44f9.png"/><Relationship Id="rId14" Type="http://schemas.openxmlformats.org/officeDocument/2006/relationships/image" Target="media/aff50cb4fa03cb04cd72aeac92213b2eef46ac31.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298A Workbook 1 - Team 4</dc:title>
  <dc:creator>Team 4</dc:creator>
  <cp:lastModifiedBy>Un-named</cp:lastModifiedBy>
  <cp:revision>1</cp:revision>
  <dcterms:created xsi:type="dcterms:W3CDTF">2026-10-05T02:46:14.039Z</dcterms:created>
  <dcterms:modified xsi:type="dcterms:W3CDTF">2026-10-05T02:46:14.039Z</dcterms:modified>
</cp:coreProperties>
</file>

<file path=docProps/custom.xml><?xml version="1.0" encoding="utf-8"?>
<Properties xmlns="http://schemas.openxmlformats.org/officeDocument/2006/custom-properties" xmlns:vt="http://schemas.openxmlformats.org/officeDocument/2006/docPropsVTypes"/>
</file>