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Resources Policy Manual</w:t>
      </w:r>
    </w:p>
    <w:p>
      <w:r>
        <w:t>Acme Corporation  |  Effective: January 1, 2025  |  Version 3.2</w:t>
      </w:r>
    </w:p>
    <w:p>
      <w:r>
        <w:t>Reviewed annually. All superseded versions are archived by HR.</w:t>
      </w:r>
    </w:p>
    <w:p>
      <w:pPr>
        <w:pStyle w:val="Heading1"/>
      </w:pPr>
      <w:r>
        <w:t>1. Purpose and Scope</w:t>
      </w:r>
    </w:p>
    <w:p>
      <w:r>
        <w:t>This manual establishes the employment framework for all full-time, part-time, and contract employees of Acme Corporation. It applies to all domestic locations and, where local law permits, to international assignments. These policies complement, but do not replace, applicable federal, state, or local employment law. In the event of a conflict, the relevant law takes precedence.</w:t>
      </w:r>
    </w:p>
    <w:p>
      <w:r>
        <w:t>The Company reserves the right to amend any policy at any time. Employees will be notified of material changes via the internal HR portal. Continued employment following such notice constitutes acceptance of the revised terms.</w:t>
      </w:r>
    </w:p>
    <w:p>
      <w:pPr>
        <w:pStyle w:val="Heading1"/>
      </w:pPr>
      <w:r>
        <w:t>2. Employment Classification</w:t>
      </w:r>
    </w:p>
    <w:p>
      <w:pPr>
        <w:pStyle w:val="Heading2"/>
      </w:pPr>
      <w:r>
        <w:t>2.1 Full-Time Employees</w:t>
      </w:r>
    </w:p>
    <w:p>
      <w:r>
        <w:t>Employees regularly scheduled to work 35 or more hours per week. Full-time employees are eligible for the complete benefits package described in Section 6.</w:t>
      </w:r>
    </w:p>
    <w:p>
      <w:pPr>
        <w:pStyle w:val="Heading2"/>
      </w:pPr>
      <w:r>
        <w:t>2.2 Part-Time Employees</w:t>
      </w:r>
    </w:p>
    <w:p>
      <w:r>
        <w:t>Employees regularly scheduled for fewer than 35 hours per week. Those working at least 20 hours per week are eligible for prorated medical benefits. Those working fewer than 20 hours are not eligible for employer-sponsored benefits unless required by law.</w:t>
      </w:r>
    </w:p>
    <w:p>
      <w:pPr>
        <w:pStyle w:val="Heading2"/>
      </w:pPr>
      <w:r>
        <w:t>2.3 Contractors and Temporary Workers</w:t>
      </w:r>
    </w:p>
    <w:p>
      <w:r>
        <w:t>Independent contractors and agency-placed temporary workers are not employees of the Company and are not entitled to employee benefits. Managers must not direct contractors in a manner that creates an implied employment relationship. Worker classification questions must be directed to HR before an engagement begins.</w:t>
      </w:r>
    </w:p>
    <w:p>
      <w:pPr>
        <w:pStyle w:val="Heading1"/>
      </w:pPr>
      <w:r>
        <w:t>3. Recruitment and Onboarding</w:t>
      </w:r>
    </w:p>
    <w:p>
      <w:pPr>
        <w:pStyle w:val="Heading2"/>
      </w:pPr>
      <w:r>
        <w:t>3.1 Job Posting and Selection</w:t>
      </w:r>
    </w:p>
    <w:p>
      <w:r>
        <w:t>All open positions must be posted on the Company intranet for a minimum of five business days before an offer is extended, unless the role is filled through an approved internal transfer. Hiring managers must complete unconscious bias training before participating in interviews. Interview panels must include at least two interviewers for Individual Contributor roles and three for Senior or Manager-level roles. All interviewers must use the standardised competency scoring rubric provided by HR.</w:t>
      </w:r>
    </w:p>
    <w:p>
      <w:pPr>
        <w:pStyle w:val="Heading2"/>
      </w:pPr>
      <w:r>
        <w:t>3.2 Background Checks</w:t>
      </w:r>
    </w:p>
    <w:p>
      <w:r>
        <w:t>Conditional offers of employment are subject to satisfactory completion of a background check, which may include criminal history, employment verification, education verification, and, for roles involving financial responsibility, a credit check. Background checks are conducted by a third-party provider and governed by the Fair Credit Reporting Act and applicable state law.</w:t>
      </w:r>
    </w:p>
    <w:p>
      <w:pPr>
        <w:pStyle w:val="Heading2"/>
      </w:pPr>
      <w:r>
        <w:t>3.3 Onboarding Programme</w:t>
      </w:r>
    </w:p>
    <w:p>
      <w:r>
        <w:t>New employees must complete the following within their first 30 days:</w:t>
      </w:r>
    </w:p>
    <w:p>
      <w:pPr>
        <w:pStyle w:val="ListBullet"/>
      </w:pPr>
      <w:r>
        <w:t>I-9 Employment Eligibility Verification (Day 1)</w:t>
      </w:r>
    </w:p>
    <w:p>
      <w:pPr>
        <w:pStyle w:val="ListBullet"/>
      </w:pPr>
      <w:r>
        <w:t>Mandatory compliance training: Code of Conduct, Anti-Harassment, Data Privacy, and Information Security Awareness</w:t>
      </w:r>
    </w:p>
    <w:p>
      <w:pPr>
        <w:pStyle w:val="ListBullet"/>
      </w:pPr>
      <w:r>
        <w:t>Benefits enrolment via the HR portal (window closes Day 30)</w:t>
      </w:r>
    </w:p>
    <w:p>
      <w:pPr>
        <w:pStyle w:val="ListBullet"/>
      </w:pPr>
      <w:r>
        <w:t>Equipment and systems access request through the IT Service Desk</w:t>
      </w:r>
    </w:p>
    <w:p>
      <w:pPr>
        <w:pStyle w:val="ListBullet"/>
      </w:pPr>
      <w:r>
        <w:t>30-day check-in with direct manager and HR Business Partner</w:t>
      </w:r>
    </w:p>
    <w:p>
      <w:pPr>
        <w:pStyle w:val="Heading1"/>
      </w:pPr>
      <w:r>
        <w:t>4. Working Hours and Attendance</w:t>
      </w:r>
    </w:p>
    <w:p>
      <w:pPr>
        <w:pStyle w:val="Heading2"/>
      </w:pPr>
      <w:r>
        <w:t>4.1 Standard Hours</w:t>
      </w:r>
    </w:p>
    <w:p>
      <w:r>
        <w:t>Standard business hours are 9:00 a.m. to 5:30 p.m. local time, Monday through Friday, with a 30-minute unpaid lunch break. Flexible start and end times may be arranged with manager approval, provided core hours (10:00 a.m. to 3:00 p.m.) are covered and operational needs are met.</w:t>
      </w:r>
    </w:p>
    <w:p>
      <w:pPr>
        <w:pStyle w:val="Heading2"/>
      </w:pPr>
      <w:r>
        <w:t>4.2 Remote Work</w:t>
      </w:r>
    </w:p>
    <w:p>
      <w:r>
        <w:t>Eligible employees may work remotely up to three days per week with manager approval and a signed Remote Work Agreement. Fully remote arrangements require VP-level approval and annual review. Employees must be reachable during core hours and maintain a dedicated workspace. The Company provides a one-time equipment stipend of $500 at the start of an approved remote arrangement. Home office running costs (internet, electricity) remain the employee's responsibility.</w:t>
      </w:r>
    </w:p>
    <w:p>
      <w:pPr>
        <w:pStyle w:val="Heading2"/>
      </w:pPr>
      <w:r>
        <w:t>4.3 Overtime</w:t>
      </w:r>
    </w:p>
    <w:p>
      <w:r>
        <w:t>Non-exempt employees who work more than 40 hours in a workweek are entitled to overtime pay at 1.5x their regular hourly rate in accordance with the Fair Labor Standards Act. Overtime must be pre-approved by the manager. Unapproved overtime will be paid but may result in disciplinary action. Exempt employees are not eligible for overtime pay.</w:t>
      </w:r>
    </w:p>
    <w:p>
      <w:pPr>
        <w:pStyle w:val="Heading2"/>
      </w:pPr>
      <w:r>
        <w:t>4.4 Attendance</w:t>
      </w:r>
    </w:p>
    <w:p>
      <w:r>
        <w:t>Employees who will be absent or late must notify their manager before the start of their scheduled shift. Unexcused absences are tracked and may trigger progressive discipline. Three unexcused absences within a rolling 90-day period constitute a pattern of excessive absenteeism and will result in a formal written warning.</w:t>
      </w:r>
    </w:p>
    <w:p>
      <w:pPr>
        <w:pStyle w:val="Heading1"/>
      </w:pPr>
      <w:r>
        <w:t>5. Leave Policies</w:t>
      </w:r>
    </w:p>
    <w:p>
      <w:pPr>
        <w:pStyle w:val="Heading2"/>
      </w:pPr>
      <w:r>
        <w:t>5.1 Paid Time Off (PTO)</w:t>
      </w:r>
    </w:p>
    <w:p>
      <w:r>
        <w:t>Full-time employees accrue PTO based on years of service:</w:t>
      </w:r>
    </w:p>
    <w:p>
      <w:pPr>
        <w:pStyle w:val="ListBullet"/>
      </w:pPr>
      <w:r>
        <w:t>0-2 years: 15 days per year (1.25 days/month)</w:t>
      </w:r>
    </w:p>
    <w:p>
      <w:pPr>
        <w:pStyle w:val="ListBullet"/>
      </w:pPr>
      <w:r>
        <w:t>3-5 years: 18 days per year (1.5 days/month)</w:t>
      </w:r>
    </w:p>
    <w:p>
      <w:pPr>
        <w:pStyle w:val="ListBullet"/>
      </w:pPr>
      <w:r>
        <w:t>6-10 years: 22 days per year</w:t>
      </w:r>
    </w:p>
    <w:p>
      <w:pPr>
        <w:pStyle w:val="ListBullet"/>
      </w:pPr>
      <w:r>
        <w:t>10+ years: 25 days per year</w:t>
      </w:r>
    </w:p>
    <w:p>
      <w:r>
        <w:t>PTO accrues from the first day of employment. Up to 5 unused days may be carried into the next calendar year; the remainder is forfeited except where state law requires payout. Requests for 3 or more consecutive days must be submitted at least two weeks in advance via the HR portal.</w:t>
      </w:r>
    </w:p>
    <w:p>
      <w:pPr>
        <w:pStyle w:val="Heading2"/>
      </w:pPr>
      <w:r>
        <w:t>5.2 Sick Leave</w:t>
      </w:r>
    </w:p>
    <w:p>
      <w:r>
        <w:t>Employees accrue sick leave at 1 day per month, capped at 10 days per year. Sick leave does not carry over and is not paid out upon termination. It may be used for the employee's own illness, a medical appointment, or to care for an immediate family member (spouse, child, or parent) who is ill. A doctor's note may be required for absences exceeding three consecutive days.</w:t>
      </w:r>
    </w:p>
    <w:p>
      <w:pPr>
        <w:pStyle w:val="Heading2"/>
      </w:pPr>
      <w:r>
        <w:t>5.3 Parental Leave</w:t>
      </w:r>
    </w:p>
    <w:p>
      <w:r>
        <w:t>Primary caregivers receive 16 weeks of fully paid parental leave following the birth, adoption, or foster placement of a child. Secondary caregivers receive 6 weeks of fully paid parental leave. Leave must be taken within 12 months of the qualifying event. At least 30 days advance notice is required where practicable.</w:t>
      </w:r>
    </w:p>
    <w:p>
      <w:pPr>
        <w:pStyle w:val="Heading2"/>
      </w:pPr>
      <w:r>
        <w:t>5.4 Other Leave</w:t>
      </w:r>
    </w:p>
    <w:p>
      <w:pPr>
        <w:pStyle w:val="ListBullet"/>
      </w:pPr>
      <w:r>
        <w:t>Bereavement: 5 paid days for immediate family; 3 paid days for extended family</w:t>
      </w:r>
    </w:p>
    <w:p>
      <w:pPr>
        <w:pStyle w:val="ListBullet"/>
      </w:pPr>
      <w:r>
        <w:t>Jury Duty: Full pay for up to 10 business days; unpaid thereafter</w:t>
      </w:r>
    </w:p>
    <w:p>
      <w:pPr>
        <w:pStyle w:val="ListBullet"/>
      </w:pPr>
      <w:r>
        <w:t>Military Leave: Per USERRA</w:t>
      </w:r>
    </w:p>
    <w:p>
      <w:pPr>
        <w:pStyle w:val="ListBullet"/>
      </w:pPr>
      <w:r>
        <w:t>Volunteer Time Off: 2 paid days per year for approved charitable activities</w:t>
      </w:r>
    </w:p>
    <w:p>
      <w:pPr>
        <w:pStyle w:val="Heading1"/>
      </w:pPr>
      <w:r>
        <w:t>6. Compensation and Benefits</w:t>
      </w:r>
    </w:p>
    <w:p>
      <w:pPr>
        <w:pStyle w:val="Heading2"/>
      </w:pPr>
      <w:r>
        <w:t>6.1 Salary Reviews</w:t>
      </w:r>
    </w:p>
    <w:p>
      <w:r>
        <w:t>Compensation is reviewed annually in January. Merit increases are based on individual performance ratings and the annual compensation budget approved by the Board. Off-cycle adjustments may be approved by the CHRO for promotions or confirmed market-rate corrections. Salary ranges for all roles are maintained in the Company's compensation framework and are available on request from HR.</w:t>
      </w:r>
    </w:p>
    <w:p>
      <w:pPr>
        <w:pStyle w:val="Heading2"/>
      </w:pPr>
      <w:r>
        <w:t>6.2 Health and Wellness</w:t>
      </w:r>
    </w:p>
    <w:p>
      <w:r>
        <w:t>The Company offers medical, dental, and vision insurance. The Company contributes 80% of the employee-only medical premium, 70% of dental, and 70% of vision. Dependent coverage is available at the employee's expense. Coverage is effective on the first day of the month following the hire date. A Health Savings Account (HSA) is available to employees enrolled in the high-deductible medical plan, with an annual employer contribution of $750 for employee-only coverage and $1,500 for family coverage.</w:t>
      </w:r>
    </w:p>
    <w:p>
      <w:pPr>
        <w:pStyle w:val="Heading2"/>
      </w:pPr>
      <w:r>
        <w:t>6.3 Retirement</w:t>
      </w:r>
    </w:p>
    <w:p>
      <w:r>
        <w:t>Employees may participate in the Company 401(k) plan after 90 days of service. The Company matches 100% of employee contributions up to 4% of eligible compensation. Employer contributions vest on a graded schedule: 25% after one year, 50% after two years, 75% after three years, and 100% after four years of service.</w:t>
      </w:r>
    </w:p>
    <w:p>
      <w:pPr>
        <w:pStyle w:val="Heading2"/>
      </w:pPr>
      <w:r>
        <w:t>6.4 Additional Benefits</w:t>
      </w:r>
    </w:p>
    <w:p>
      <w:pPr>
        <w:pStyle w:val="ListBullet"/>
      </w:pPr>
      <w:r>
        <w:t>Employee Assistance Programme (EAP): Confidential counselling and support services, up to 8 sessions per year at no cost</w:t>
      </w:r>
    </w:p>
    <w:p>
      <w:pPr>
        <w:pStyle w:val="ListBullet"/>
      </w:pPr>
      <w:r>
        <w:t>Tuition Reimbursement: Up to $5,250 per year for approved job-related education, subject to a 2-year service commitment post-reimbursement</w:t>
      </w:r>
    </w:p>
    <w:p>
      <w:pPr>
        <w:pStyle w:val="ListBullet"/>
      </w:pPr>
      <w:r>
        <w:t>Professional Development: $1,000 annual stipend for conferences, courses, or certifications approved by the employee's manager</w:t>
      </w:r>
    </w:p>
    <w:p>
      <w:pPr>
        <w:pStyle w:val="ListBullet"/>
      </w:pPr>
      <w:r>
        <w:t>Commuter Benefits: Pre-tax transit or parking contributions up to IRS limits</w:t>
      </w:r>
    </w:p>
    <w:p>
      <w:pPr>
        <w:pStyle w:val="Heading1"/>
      </w:pPr>
      <w:r>
        <w:t>7. Performance Management</w:t>
      </w:r>
    </w:p>
    <w:p>
      <w:r>
        <w:t>The Company uses a quarterly check-in model supplemented by a formal annual review completed each December. Performance ratings are on a five-point scale: Exceptional (5), Exceeds Expectations (4), Meets Expectations (3), Needs Improvement (2), and Unsatisfactory (1). Ratings of 2 or below trigger a Performance Improvement Plan (PIP) with specific, measurable goals and a timeline of no fewer than 60 days. Ratings of 4 or above make the employee eligible for additional merit consideration during the compensation review cycle.</w:t>
      </w:r>
    </w:p>
    <w:p>
      <w:r>
        <w:t>Managers are responsible for scheduling quarterly check-ins and documenting outcomes in the HR system. Failure to conduct required check-ins will be reflected in the manager's own performance evaluation.</w:t>
      </w:r>
    </w:p>
    <w:p>
      <w:pPr>
        <w:pStyle w:val="Heading1"/>
      </w:pPr>
      <w:r>
        <w:t>8. Disciplinary Procedures</w:t>
      </w:r>
    </w:p>
    <w:p>
      <w:r>
        <w:t>Performance and conduct issues are addressed through a progressive discipline framework:</w:t>
      </w:r>
    </w:p>
    <w:p>
      <w:pPr>
        <w:pStyle w:val="ListBullet"/>
      </w:pPr>
      <w:r>
        <w:t>Step 1: Verbal warning, documented in the HR system within 24 hours</w:t>
      </w:r>
    </w:p>
    <w:p>
      <w:pPr>
        <w:pStyle w:val="ListBullet"/>
      </w:pPr>
      <w:r>
        <w:t>Step 2: Written warning, signed by employee, manager, and HR</w:t>
      </w:r>
    </w:p>
    <w:p>
      <w:pPr>
        <w:pStyle w:val="ListBullet"/>
      </w:pPr>
      <w:r>
        <w:t>Step 3: Final written warning or unpaid suspension (up to 3 days)</w:t>
      </w:r>
    </w:p>
    <w:p>
      <w:pPr>
        <w:pStyle w:val="ListBullet"/>
      </w:pPr>
      <w:r>
        <w:t>Step 4: Termination of employment</w:t>
      </w:r>
    </w:p>
    <w:p>
      <w:r>
        <w:t>The Company may skip steps or proceed directly to termination for serious misconduct, including but not limited to: theft, workplace violence, harassment, falsification of records, or material breach of a confidentiality or non-compete agreement.</w:t>
      </w:r>
    </w:p>
    <w:p>
      <w:pPr>
        <w:pStyle w:val="Heading1"/>
      </w:pPr>
      <w:r>
        <w:t>9. Anti-Harassment and Equal Opportunity</w:t>
      </w:r>
    </w:p>
    <w:p>
      <w:r>
        <w:t>The Company is committed to a workplace free from harassment, discrimination, and retaliation. Harassment based on any protected characteristic—including race, colour, religion, sex, national origin, age, disability, sexual orientation, or gender identity—is strictly prohibited. All employees must complete annual anti-harassment training. Complaints may be filed with HR, a manager, or anonymously via the Ethics Hotline (+1-800-555-0199). Investigations are completed within 30 business days where practicable. Retaliation against any person who files a good-faith complaint is grounds for immediate termination.</w:t>
      </w:r>
    </w:p>
    <w:p>
      <w:pPr>
        <w:pStyle w:val="Heading1"/>
      </w:pPr>
      <w:r>
        <w:t>10. Separation from Employment</w:t>
      </w:r>
    </w:p>
    <w:p>
      <w:r>
        <w:t>Employees who voluntarily resign are requested to provide a minimum of two weeks written notice (four weeks for Director level and above). The Company may accept the resignation immediately with pay in lieu of notice at its sole discretion. Final paycheques, including any accrued PTO required by law to be paid out, are issued per applicable state wage payment deadlines. All Company property—including equipment, access badges, and confidential materials—must be returned on or before the last day of employment. Failure to return property may result in deductions from the final pay where permitted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