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Technology Security Policy</w:t>
      </w:r>
    </w:p>
    <w:p>
      <w:r>
        <w:t>Acme Corporation  |  Effective: January 1, 2025  |  Version 2.4</w:t>
      </w:r>
    </w:p>
    <w:p>
      <w:r>
        <w:t>Owner: Chief Information Security Officer. Reviewed annually or following a material security incident.</w:t>
      </w:r>
    </w:p>
    <w:p>
      <w:pPr>
        <w:pStyle w:val="Heading1"/>
      </w:pPr>
      <w:r>
        <w:t>1. Purpose and Scope</w:t>
      </w:r>
    </w:p>
    <w:p>
      <w:r>
        <w:t>This policy establishes the minimum security standards for protecting Acme Corporation's information assets, systems, and infrastructure. It applies to all employees, contractors, temporary workers, vendors, and any other party who accesses Company systems or data, regardless of location or device type.</w:t>
      </w:r>
    </w:p>
    <w:p>
      <w:r>
        <w:t>Violations of this policy may result in disciplinary action up to and including termination of employment or contract, and may be referred to law enforcement where criminal activity is suspected.</w:t>
      </w:r>
    </w:p>
    <w:p>
      <w:pPr>
        <w:pStyle w:val="Heading1"/>
      </w:pPr>
      <w:r>
        <w:t>2. Acceptable Use</w:t>
      </w:r>
    </w:p>
    <w:p>
      <w:pPr>
        <w:pStyle w:val="Heading2"/>
      </w:pPr>
      <w:r>
        <w:t>2.1 General Principles</w:t>
      </w:r>
    </w:p>
    <w:p>
      <w:r>
        <w:t>Company-owned and managed devices and network resources are provided for business purposes. Incidental personal use is permitted provided it does not: interfere with job performance; consume significant bandwidth or storage; involve illegal, offensive, or harassing content; or compromise system security. All activity on Company systems is subject to monitoring and logging. Employees should have no expectation of privacy when using Company equipment or networks.</w:t>
      </w:r>
    </w:p>
    <w:p>
      <w:pPr>
        <w:pStyle w:val="Heading2"/>
      </w:pPr>
      <w:r>
        <w:t>2.2 Prohibited Activities</w:t>
      </w:r>
    </w:p>
    <w:p>
      <w:r>
        <w:t>The following activities are strictly prohibited on Company systems and networks:</w:t>
      </w:r>
    </w:p>
    <w:p>
      <w:pPr>
        <w:pStyle w:val="ListBullet"/>
      </w:pPr>
      <w:r>
        <w:t>Accessing, downloading, or distributing illegal content, including unlicensed software or copyrighted material without authorisation</w:t>
      </w:r>
    </w:p>
    <w:p>
      <w:pPr>
        <w:pStyle w:val="ListBullet"/>
      </w:pPr>
      <w:r>
        <w:t>Attempting to bypass, disable, or circumvent security controls, firewalls, or content filters</w:t>
      </w:r>
    </w:p>
    <w:p>
      <w:pPr>
        <w:pStyle w:val="ListBullet"/>
      </w:pPr>
      <w:r>
        <w:t>Installing unauthorised software, browser extensions, or applications on Company devices</w:t>
      </w:r>
    </w:p>
    <w:p>
      <w:pPr>
        <w:pStyle w:val="ListBullet"/>
      </w:pPr>
      <w:r>
        <w:t>Connecting personal storage devices (USB drives, external hard drives) without prior approval from the IT Security team</w:t>
      </w:r>
    </w:p>
    <w:p>
      <w:pPr>
        <w:pStyle w:val="ListBullet"/>
      </w:pPr>
      <w:r>
        <w:t>Using Company resources to mine cryptocurrency or run personal servers</w:t>
      </w:r>
    </w:p>
    <w:p>
      <w:pPr>
        <w:pStyle w:val="ListBullet"/>
      </w:pPr>
      <w:r>
        <w:t>Sharing login credentials with any other person, including colleagues</w:t>
      </w:r>
    </w:p>
    <w:p>
      <w:pPr>
        <w:pStyle w:val="ListBullet"/>
      </w:pPr>
      <w:r>
        <w:t>Accessing systems or data beyond the scope of job responsibilities</w:t>
      </w:r>
    </w:p>
    <w:p>
      <w:pPr>
        <w:pStyle w:val="Heading1"/>
      </w:pPr>
      <w:r>
        <w:t>3. Access Control</w:t>
      </w:r>
    </w:p>
    <w:p>
      <w:pPr>
        <w:pStyle w:val="Heading2"/>
      </w:pPr>
      <w:r>
        <w:t>3.1 Account Provisioning</w:t>
      </w:r>
    </w:p>
    <w:p>
      <w:r>
        <w:t>Access to systems and data is granted on a least-privilege basis: employees receive only the access required to perform their job functions. All access requests must be submitted through the IT Service Desk and approved by the employee's manager and, for sensitive systems, the data owner or system custodian. Access is provisioned within 2 business days of approval.</w:t>
      </w:r>
    </w:p>
    <w:p>
      <w:pPr>
        <w:pStyle w:val="Heading2"/>
      </w:pPr>
      <w:r>
        <w:t>3.2 Account Deprovisioning</w:t>
      </w:r>
    </w:p>
    <w:p>
      <w:r>
        <w:t>HR is responsible for notifying the IT Service Desk on or before an employee's last day of employment. All accounts must be disabled within 2 hours of an employee's departure and permanently removed within 30 days. For involuntary terminations, accounts are disabled before the employee is notified. Managers must also notify IT of any significant role changes that require access modifications.</w:t>
      </w:r>
    </w:p>
    <w:p>
      <w:pPr>
        <w:pStyle w:val="Heading2"/>
      </w:pPr>
      <w:r>
        <w:t>3.3 Privileged Access</w:t>
      </w:r>
    </w:p>
    <w:p>
      <w:r>
        <w:t>Privileged accounts (system administrator, database administrator, root access) are subject to additional controls:</w:t>
      </w:r>
    </w:p>
    <w:p>
      <w:pPr>
        <w:pStyle w:val="ListBullet"/>
      </w:pPr>
      <w:r>
        <w:t>Privileged access must be documented and approved by the CISO</w:t>
      </w:r>
    </w:p>
    <w:p>
      <w:pPr>
        <w:pStyle w:val="ListBullet"/>
      </w:pPr>
      <w:r>
        <w:t>Privileged users must use a separate, dedicated account for privileged tasks; they must not use their privileged account for routine work such as email or web browsing</w:t>
      </w:r>
    </w:p>
    <w:p>
      <w:pPr>
        <w:pStyle w:val="ListBullet"/>
      </w:pPr>
      <w:r>
        <w:t>All privileged access sessions must be logged and retained for a minimum of 12 months</w:t>
      </w:r>
    </w:p>
    <w:p>
      <w:pPr>
        <w:pStyle w:val="ListBullet"/>
      </w:pPr>
      <w:r>
        <w:t>Privileged account credentials are reviewed quarterly; inactive privileged accounts are disabled after 30 days</w:t>
      </w:r>
    </w:p>
    <w:p>
      <w:pPr>
        <w:pStyle w:val="Heading1"/>
      </w:pPr>
      <w:r>
        <w:t>4. Password and Authentication Standards</w:t>
      </w:r>
    </w:p>
    <w:p>
      <w:pPr>
        <w:pStyle w:val="Heading2"/>
      </w:pPr>
      <w:r>
        <w:t>4.1 Password Requirements</w:t>
      </w:r>
    </w:p>
    <w:p>
      <w:r>
        <w:t>All user accounts must comply with the following password standards:</w:t>
      </w:r>
    </w:p>
    <w:p>
      <w:pPr>
        <w:pStyle w:val="ListBullet"/>
      </w:pPr>
      <w:r>
        <w:t>Minimum length: 14 characters</w:t>
      </w:r>
    </w:p>
    <w:p>
      <w:pPr>
        <w:pStyle w:val="ListBullet"/>
      </w:pPr>
      <w:r>
        <w:t>Must contain at least one uppercase letter, one lowercase letter, one digit, and one special character</w:t>
      </w:r>
    </w:p>
    <w:p>
      <w:pPr>
        <w:pStyle w:val="ListBullet"/>
      </w:pPr>
      <w:r>
        <w:t>Must not contain the user's name, username, or company name</w:t>
      </w:r>
    </w:p>
    <w:p>
      <w:pPr>
        <w:pStyle w:val="ListBullet"/>
      </w:pPr>
      <w:r>
        <w:t>Must not be reused within the last 12 passwords</w:t>
      </w:r>
    </w:p>
    <w:p>
      <w:pPr>
        <w:pStyle w:val="ListBullet"/>
      </w:pPr>
      <w:r>
        <w:t>Must be changed every 90 days for standard accounts; every 60 days for privileged accounts</w:t>
      </w:r>
    </w:p>
    <w:p>
      <w:r>
        <w:t>The Company's approved password manager must be used for storing and generating passwords. Passwords must not be written down, stored in plain-text files, or shared via email or messaging applications.</w:t>
      </w:r>
    </w:p>
    <w:p>
      <w:pPr>
        <w:pStyle w:val="Heading2"/>
      </w:pPr>
      <w:r>
        <w:t>4.2 Multi-Factor Authentication (MFA)</w:t>
      </w:r>
    </w:p>
    <w:p>
      <w:r>
        <w:t>MFA is mandatory for: all remote access (VPN, remote desktop); all cloud-based services (Microsoft 365, Salesforce, AWS Console); any system containing data classified as Confidential or Restricted; and all privileged accounts. Acceptable MFA methods are authenticator applications (e.g., Microsoft Authenticator, Google Authenticator) or hardware security keys. SMS-based one-time passwords are acceptable only where no alternative is available and must be flagged to IT Security.</w:t>
      </w:r>
    </w:p>
    <w:p>
      <w:pPr>
        <w:pStyle w:val="Heading1"/>
      </w:pPr>
      <w:r>
        <w:t>5. Data Classification and Handling</w:t>
      </w:r>
    </w:p>
    <w:p>
      <w:pPr>
        <w:pStyle w:val="Heading2"/>
      </w:pPr>
      <w:r>
        <w:t>5.1 Classification Levels</w:t>
      </w:r>
    </w:p>
    <w:p>
      <w:pPr>
        <w:pStyle w:val="ListBullet"/>
      </w:pPr>
      <w:r>
        <w:t>Public: Information approved for release to the general public (e.g., marketing materials, published product documentation)</w:t>
      </w:r>
    </w:p>
    <w:p>
      <w:pPr>
        <w:pStyle w:val="ListBullet"/>
      </w:pPr>
      <w:r>
        <w:t>Internal: Information intended for internal use only (e.g., internal memos, project plans, non-sensitive operational data)</w:t>
      </w:r>
    </w:p>
    <w:p>
      <w:pPr>
        <w:pStyle w:val="ListBullet"/>
      </w:pPr>
      <w:r>
        <w:t>Confidential: Sensitive business information whose unauthorised disclosure could harm the Company or its customers (e.g., financial data, HR records, customer PII, contracts)</w:t>
      </w:r>
    </w:p>
    <w:p>
      <w:pPr>
        <w:pStyle w:val="ListBullet"/>
      </w:pPr>
      <w:r>
        <w:t>Restricted: Highly sensitive data subject to legal or regulatory protection (e.g., payment card data, health records, trade secrets, audit reports)</w:t>
      </w:r>
    </w:p>
    <w:p>
      <w:pPr>
        <w:pStyle w:val="Heading2"/>
      </w:pPr>
      <w:r>
        <w:t>5.2 Handling Requirements</w:t>
      </w:r>
    </w:p>
    <w:p>
      <w:r>
        <w:t>Confidential and Restricted data must be:</w:t>
      </w:r>
    </w:p>
    <w:p>
      <w:pPr>
        <w:pStyle w:val="ListBullet"/>
      </w:pPr>
      <w:r>
        <w:t>Encrypted at rest using AES-256 and in transit using TLS 1.2 or higher</w:t>
      </w:r>
    </w:p>
    <w:p>
      <w:pPr>
        <w:pStyle w:val="ListBullet"/>
      </w:pPr>
      <w:r>
        <w:t>Stored only in approved systems; storing Confidential or Restricted data on personal devices or unapproved cloud services is prohibited</w:t>
      </w:r>
    </w:p>
    <w:p>
      <w:pPr>
        <w:pStyle w:val="ListBullet"/>
      </w:pPr>
      <w:r>
        <w:t>Shared externally only via approved secure file-transfer mechanisms, never via personal email</w:t>
      </w:r>
    </w:p>
    <w:p>
      <w:pPr>
        <w:pStyle w:val="ListBullet"/>
      </w:pPr>
      <w:r>
        <w:t>Disposed of securely: electronic data must be cryptographically wiped; physical documents must be cross-cut shredded</w:t>
      </w:r>
    </w:p>
    <w:p>
      <w:pPr>
        <w:pStyle w:val="Heading2"/>
      </w:pPr>
      <w:r>
        <w:t>5.3 Data Retention</w:t>
      </w:r>
    </w:p>
    <w:p>
      <w:r>
        <w:t>Data must be retained in accordance with the Company's Data Retention Schedule, maintained by the Legal and Compliance team. Employees must not delete or destroy records that may be subject to a legal hold. Questions about retention obligations should be directed to the Legal department.</w:t>
      </w:r>
    </w:p>
    <w:p>
      <w:pPr>
        <w:pStyle w:val="Heading1"/>
      </w:pPr>
      <w:r>
        <w:t>6. Device Security</w:t>
      </w:r>
    </w:p>
    <w:p>
      <w:pPr>
        <w:pStyle w:val="Heading2"/>
      </w:pPr>
      <w:r>
        <w:t>6.1 Company-Issued Devices</w:t>
      </w:r>
    </w:p>
    <w:p>
      <w:r>
        <w:t>All Company-issued laptops, desktops, and mobile devices must have the following controls applied by IT before first use:</w:t>
      </w:r>
    </w:p>
    <w:p>
      <w:pPr>
        <w:pStyle w:val="ListBullet"/>
      </w:pPr>
      <w:r>
        <w:t>Full-disk encryption (BitLocker for Windows; FileVault for macOS)</w:t>
      </w:r>
    </w:p>
    <w:p>
      <w:pPr>
        <w:pStyle w:val="ListBullet"/>
      </w:pPr>
      <w:r>
        <w:t>Endpoint Detection and Response (EDR) agent</w:t>
      </w:r>
    </w:p>
    <w:p>
      <w:pPr>
        <w:pStyle w:val="ListBullet"/>
      </w:pPr>
      <w:r>
        <w:t>Mobile Device Management (MDM) enrolment</w:t>
      </w:r>
    </w:p>
    <w:p>
      <w:pPr>
        <w:pStyle w:val="ListBullet"/>
      </w:pPr>
      <w:r>
        <w:t>Automatic screen lock after 5 minutes of inactivity; lock-screen PIN or password required</w:t>
      </w:r>
    </w:p>
    <w:p>
      <w:pPr>
        <w:pStyle w:val="ListBullet"/>
      </w:pPr>
      <w:r>
        <w:t>Automatic operating system and security patch installation within 14 days of patch release</w:t>
      </w:r>
    </w:p>
    <w:p>
      <w:pPr>
        <w:pStyle w:val="Heading2"/>
      </w:pPr>
      <w:r>
        <w:t>6.2 Personal Devices (BYOD)</w:t>
      </w:r>
    </w:p>
    <w:p>
      <w:r>
        <w:t>Use of personal devices to access Company email, systems, or data is permitted only after the device has been enrolled in the Company's MDM solution and the employee has signed the BYOD Acceptable Use Agreement. MDM enrolment enables the Company to remotely wipe Company data from the device; it does not give the Company access to personal data. Employees who do not wish to enrol their personal device may request a Company-issued device for business use.</w:t>
      </w:r>
    </w:p>
    <w:p>
      <w:pPr>
        <w:pStyle w:val="Heading2"/>
      </w:pPr>
      <w:r>
        <w:t>6.3 Lost or Stolen Devices</w:t>
      </w:r>
    </w:p>
    <w:p>
      <w:r>
        <w:t>Loss or theft of any device (Company-issued or personal enrolled in MDM) must be reported to the IT Service Desk within 2 hours of discovery. IT Security will initiate a remote wipe of Company data. A police report may be required. Failure to report a lost or stolen device promptly may result in disciplinary action.</w:t>
      </w:r>
    </w:p>
    <w:p>
      <w:pPr>
        <w:pStyle w:val="Heading1"/>
      </w:pPr>
      <w:r>
        <w:t>7. Network Security</w:t>
      </w:r>
    </w:p>
    <w:p>
      <w:pPr>
        <w:pStyle w:val="Heading2"/>
      </w:pPr>
      <w:r>
        <w:t>7.1 Remote Access</w:t>
      </w:r>
    </w:p>
    <w:p>
      <w:r>
        <w:t>All remote access to the Company network must use the approved VPN solution with MFA enabled. Split-tunnelling is disabled; all internet traffic from connected endpoints is routed through the Company perimeter. VPN credentials must not be shared. Persistent VPN connections should be disconnected when not in active use.</w:t>
      </w:r>
    </w:p>
    <w:p>
      <w:pPr>
        <w:pStyle w:val="Heading2"/>
      </w:pPr>
      <w:r>
        <w:t>7.2 Wireless Networks</w:t>
      </w:r>
    </w:p>
    <w:p>
      <w:r>
        <w:t>Employees must not connect Company devices to unsecured public Wi-Fi networks without first enabling the VPN. Guest Wi-Fi networks at Company offices are isolated from the corporate network and must not be used to access internal systems. Personal wireless hotspots may be used as an alternative to public Wi-Fi.</w:t>
      </w:r>
    </w:p>
    <w:p>
      <w:pPr>
        <w:pStyle w:val="Heading2"/>
      </w:pPr>
      <w:r>
        <w:t>7.3 Network Segmentation</w:t>
      </w:r>
    </w:p>
    <w:p>
      <w:r>
        <w:t>The Company network is segmented into zones (production, development, corporate, guest) with access controlled by firewall rules. Requests to open firewall ports or modify network ACLs must be submitted to the Network team with documented business justification and approved by the CISO.</w:t>
      </w:r>
    </w:p>
    <w:p>
      <w:pPr>
        <w:pStyle w:val="Heading1"/>
      </w:pPr>
      <w:r>
        <w:t>8. Security Incident Response</w:t>
      </w:r>
    </w:p>
    <w:p>
      <w:pPr>
        <w:pStyle w:val="Heading2"/>
      </w:pPr>
      <w:r>
        <w:t>8.1 What to Report</w:t>
      </w:r>
    </w:p>
    <w:p>
      <w:r>
        <w:t>Employees must report the following to the IT Security team immediately upon discovery:</w:t>
      </w:r>
    </w:p>
    <w:p>
      <w:pPr>
        <w:pStyle w:val="ListBullet"/>
      </w:pPr>
      <w:r>
        <w:t>Suspected malware infection or ransomware activity</w:t>
      </w:r>
    </w:p>
    <w:p>
      <w:pPr>
        <w:pStyle w:val="ListBullet"/>
      </w:pPr>
      <w:r>
        <w:t>Phishing emails that were clicked or replied to</w:t>
      </w:r>
    </w:p>
    <w:p>
      <w:pPr>
        <w:pStyle w:val="ListBullet"/>
      </w:pPr>
      <w:r>
        <w:t>Unauthorised access to systems or data</w:t>
      </w:r>
    </w:p>
    <w:p>
      <w:pPr>
        <w:pStyle w:val="ListBullet"/>
      </w:pPr>
      <w:r>
        <w:t>Loss or theft of a Company device or device containing Company data</w:t>
      </w:r>
    </w:p>
    <w:p>
      <w:pPr>
        <w:pStyle w:val="ListBullet"/>
      </w:pPr>
      <w:r>
        <w:t>Discovery of sensitive data in an unsecured location (e.g., unencrypted file share, public S3 bucket)</w:t>
      </w:r>
    </w:p>
    <w:p>
      <w:pPr>
        <w:pStyle w:val="Heading2"/>
      </w:pPr>
      <w:r>
        <w:t>8.2 Reporting Channels</w:t>
      </w:r>
    </w:p>
    <w:p>
      <w:r>
        <w:t>Security incidents must be reported via the IT Security Incident portal (security-incidents.acme.internal) or by calling the Security Hotline (+1-800-555-0299). Email should not be used to report incidents, as it may itself be compromised. When in doubt, report. False alarms are preferable to unreported incidents.</w:t>
      </w:r>
    </w:p>
    <w:p>
      <w:pPr>
        <w:pStyle w:val="Heading2"/>
      </w:pPr>
      <w:r>
        <w:t>8.3 Response Procedures</w:t>
      </w:r>
    </w:p>
    <w:p>
      <w:r>
        <w:t>Upon receipt of an incident report, the IT Security team will: acknowledge the report within 1 business hour; classify the severity (Critical, High, Medium, Low); contain the incident (isolate affected systems if necessary); conduct a root-cause analysis; and communicate findings to relevant stakeholders. Critical and High severity incidents are escalated to the CISO and, if customer data may be affected, to the Legal and Compliance team within 4 hours.</w:t>
      </w:r>
    </w:p>
    <w:p>
      <w:pPr>
        <w:pStyle w:val="Heading1"/>
      </w:pPr>
      <w:r>
        <w:t>9. Security Awareness Training</w:t>
      </w:r>
    </w:p>
    <w:p>
      <w:r>
        <w:t>All employees must complete the following training:</w:t>
      </w:r>
    </w:p>
    <w:p>
      <w:pPr>
        <w:pStyle w:val="ListBullet"/>
      </w:pPr>
      <w:r>
        <w:t>Annual Information Security Awareness training (mandatory; failure to complete within 30 days of assignment results in system access suspension)</w:t>
      </w:r>
    </w:p>
    <w:p>
      <w:pPr>
        <w:pStyle w:val="ListBullet"/>
      </w:pPr>
      <w:r>
        <w:t>Phishing simulation exercises conducted quarterly; employees who repeatedly fail simulations will be assigned remedial training</w:t>
      </w:r>
    </w:p>
    <w:p>
      <w:pPr>
        <w:pStyle w:val="ListBullet"/>
      </w:pPr>
      <w:r>
        <w:t>Role-specific training for employees handling Confidential or Restricted data (e.g., PCI DSS awareness for finance, HIPAA awareness for HR)</w:t>
      </w:r>
    </w:p>
    <w:p>
      <w:r>
        <w:t>Training completion is tracked by the IT Security team and reported to department heads quarterly.</w:t>
      </w:r>
    </w:p>
    <w:p>
      <w:pPr>
        <w:pStyle w:val="Heading1"/>
      </w:pPr>
      <w:r>
        <w:t>10. Third-Party and Vendor Security</w:t>
      </w:r>
    </w:p>
    <w:p>
      <w:r>
        <w:t>All third-party vendors with access to Company systems or data must: sign the Company's Data Processing Agreement (DPA) before access is granted; complete a security assessment questionnaire; comply with the applicable sections of this policy; and undergo an annual security review for vendors with ongoing access to Confidential or Restricted data. Vendor access must be limited to the minimum necessary and reviewed by the relevant business owner quarterly. The IT Security team maintains a register of all approved third-party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