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1515725" cy="471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5725" cy="4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4.0286054827175"/>
        <w:gridCol w:w="2188.075089392133"/>
        <w:gridCol w:w="100"/>
        <w:gridCol w:w="2005.9654350417163"/>
        <w:gridCol w:w="2005.9654350417163"/>
        <w:gridCol w:w="2005.9654350417163"/>
        <w:tblGridChange w:id="0">
          <w:tblGrid>
            <w:gridCol w:w="1054.0286054827175"/>
            <w:gridCol w:w="2188.075089392133"/>
            <w:gridCol w:w="100"/>
            <w:gridCol w:w="2005.9654350417163"/>
            <w:gridCol w:w="2005.9654350417163"/>
            <w:gridCol w:w="2005.9654350417163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ceee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eceee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  <w:color w:val="373a3c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020"/>
                <w:sz w:val="23"/>
                <w:szCs w:val="23"/>
                <w:highlight w:val="whit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ceee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rtl w:val="0"/>
              </w:rPr>
              <w:t xml:space="preserve">                   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ceee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rtl w:val="0"/>
              </w:rPr>
              <w:t xml:space="preserve">Shares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ceee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rtl w:val="0"/>
              </w:rPr>
              <w:t xml:space="preserve">NO OF HOLDERS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4.20151133501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1365"/>
        <w:gridCol w:w="1785"/>
        <w:gridCol w:w="240"/>
        <w:gridCol w:w="1504.2015113350126"/>
        <w:tblGridChange w:id="0">
          <w:tblGrid>
            <w:gridCol w:w="4470"/>
            <w:gridCol w:w="1365"/>
            <w:gridCol w:w="1785"/>
            <w:gridCol w:w="240"/>
            <w:gridCol w:w="1504.2015113350126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State Bank Of India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     55.46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  555,000,000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6.095717884131"/>
        <w:gridCol w:w="1136.4030226700252"/>
        <w:gridCol w:w="1603.2241813602016"/>
        <w:gridCol w:w="853.4811083123425"/>
        <w:gridCol w:w="980.7959697732997"/>
        <w:tblGridChange w:id="0">
          <w:tblGrid>
            <w:gridCol w:w="4786.095717884131"/>
            <w:gridCol w:w="1136.4030226700252"/>
            <w:gridCol w:w="1603.2241813602016"/>
            <w:gridCol w:w="853.4811083123425"/>
            <w:gridCol w:w="980.7959697732997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hd w:fill="f6f9ff" w:val="clear"/>
                <w:rtl w:val="0"/>
              </w:rPr>
              <w:t xml:space="preserve">Mutual Funds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11.69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116,947,066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36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Icici Prudential Esg Fund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3.16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31,654,152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Hdfc Mutual Fund - Hdfc Nifty50 Equal Weight 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1.82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18,212,991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Sbi Psu Fund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1.29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12,952,904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hd w:fill="f6f9ff" w:val="clear"/>
                <w:rtl w:val="0"/>
              </w:rPr>
              <w:t xml:space="preserve">Foreign Portfolio Investors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24.33 *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243,437,185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703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Government Of Singapore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3.44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34,407,045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hd w:fill="f6f9ff" w:val="clear"/>
                <w:rtl w:val="0"/>
              </w:rPr>
              <w:t xml:space="preserve">Insurance Companies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2.64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26,420,504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30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Icici Prudential Life Insurance Company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1.34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13,407,824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Nps Trust Fund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1.01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10,116,718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1.83831101956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1200"/>
        <w:gridCol w:w="2550"/>
        <w:gridCol w:w="886.8383110195674"/>
        <w:tblGridChange w:id="0">
          <w:tblGrid>
            <w:gridCol w:w="4725"/>
            <w:gridCol w:w="1200"/>
            <w:gridCol w:w="2550"/>
            <w:gridCol w:w="886.8383110195674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Individual share capital in excess of Rs. 2 Lacs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0.34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3,414,961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44.63476070529"/>
        <w:gridCol w:w="924.2115869017632"/>
        <w:gridCol w:w="1532.493702770781"/>
        <w:gridCol w:w="1249.5717884130981"/>
        <w:gridCol w:w="1009.0881612090681"/>
        <w:tblGridChange w:id="0">
          <w:tblGrid>
            <w:gridCol w:w="4644.63476070529"/>
            <w:gridCol w:w="924.2115869017632"/>
            <w:gridCol w:w="1532.493702770781"/>
            <w:gridCol w:w="1249.5717884130981"/>
            <w:gridCol w:w="1009.0881612090681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hd w:fill="f6f9ff" w:val="clear"/>
                <w:rtl w:val="0"/>
              </w:rPr>
              <w:t xml:space="preserve">Any Other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0.09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895,733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9,132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Huf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0.06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601,272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Trusts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0.02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207,261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Clearing Members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0.01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87,200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Macritchie Investments Pte Ltd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1.51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15,100,000</w:t>
            </w:r>
          </w:p>
        </w:tc>
        <w:tc>
          <w:tcPr>
            <w:tcBorders>
              <w:top w:color="eceee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trendlyne.com/portfolio/superstar-shareholders/custom/?query=sbi%20psu%20fund" TargetMode="External"/><Relationship Id="rId10" Type="http://schemas.openxmlformats.org/officeDocument/2006/relationships/hyperlink" Target="https://trendlyne.com/portfolio/superstar-shareholders/custom/?query=hdfc%20mutual%20fund%20hdfc%20nifty50%20equal%20weight%20index" TargetMode="External"/><Relationship Id="rId13" Type="http://schemas.openxmlformats.org/officeDocument/2006/relationships/hyperlink" Target="https://trendlyne.com/portfolio/superstar-shareholders/custom/?query=icici%20prudential%20life%20insurance%20company%20limited" TargetMode="External"/><Relationship Id="rId12" Type="http://schemas.openxmlformats.org/officeDocument/2006/relationships/hyperlink" Target="https://trendlyne.com/portfolio/superstar-shareholders/custom/?query=government%20of%20singap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ndlyne.com/portfolio/superstar-shareholders/custom/?query=icici%20prudential%20esg%20fund" TargetMode="External"/><Relationship Id="rId15" Type="http://schemas.openxmlformats.org/officeDocument/2006/relationships/hyperlink" Target="https://trendlyne.com/portfolio/superstar-shareholders/custom/?query=huf" TargetMode="External"/><Relationship Id="rId14" Type="http://schemas.openxmlformats.org/officeDocument/2006/relationships/hyperlink" Target="https://trendlyne.com/portfolio/superstar-shareholders/custom/?query=nps%20trust%20fund" TargetMode="External"/><Relationship Id="rId17" Type="http://schemas.openxmlformats.org/officeDocument/2006/relationships/hyperlink" Target="https://trendlyne.com/portfolio/superstar-shareholders/custom/?query=clearing%20members" TargetMode="External"/><Relationship Id="rId16" Type="http://schemas.openxmlformats.org/officeDocument/2006/relationships/hyperlink" Target="https://trendlyne.com/portfolio/superstar-shareholders/custom/?query=trusts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trendlyne.com/portfolio/superstar-shareholders/custom/?query=macritchie%20investments%20pte%20ltd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trendlyne.com/portfolio/superstar-shareholders/custom/?query=state%20bank%20of%20ind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