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Building the Valuation Extractor</w:t>
      </w:r>
    </w:p>
    <w:p>
      <w:r>
        <w:t>Problems we faced, while building it and while deploying it — and how we fixed each one</w:t>
      </w:r>
    </w:p>
    <w:p>
      <w:r>
        <w:t>25 September 2026</w:t>
      </w:r>
    </w:p>
    <w:p>
      <w:r>
        <w:t>This project reads property valuation reports (PDFs written by outside valuers, all differently formatted) and automatically fills in 61 standard fields into an Excel report — application details, property specifics, and financial figures like land rate and market value — so a bank doesn't have to manually re-type every report by hand. Below is a plain-language account of the real problems this hit, both while building the extraction logic itself and while getting it running reliably on AWS, and exactly how each one got fixed.</w:t>
      </w:r>
    </w:p>
    <w:p>
      <w:pPr>
        <w:pStyle w:val="Heading1"/>
      </w:pPr>
      <w:r>
        <w:t>Problems We Faced While Building It</w:t>
      </w:r>
    </w:p>
    <w:p>
      <w:pPr>
        <w:pStyle w:val="Heading2"/>
      </w:pPr>
      <w:r>
        <w:t>Reading the PDF text correctly in the first place</w:t>
      </w:r>
    </w:p>
    <w:p>
      <w:r>
        <w:t>Not every PDF has clean, selectable text. Some are proper digital documents; some are scanned images with no text layer at all; and even the digital ones vary wildly — some use real tables, some use loose paragraphs, some cram several columns of numbers into a single line of text.</w:t>
      </w:r>
    </w:p>
    <w:p>
      <w:r>
        <w:t>We combined two different reading tools: Docling, which understands table structure (actual rows and columns, not just a wall of characters), and a plain-text reader as a fallback for anything Docling can't parse cleanly. This combination mattered more than expected — more than once, a document that looked broken through plain-text reading turned out to be perfectly well-structured once we looked at it through Docling's table parser instead. That distinction ended up being the root cause of several "the AI is getting this wrong" problems below — the AI wasn't wrong, it was being fed a distorted view of the document.</w:t>
      </w:r>
    </w:p>
    <w:p>
      <w:pPr>
        <w:pStyle w:val="Heading2"/>
      </w:pPr>
      <w:r>
        <w:t>The AI inventing a pincode that was never actually in the document</w:t>
      </w:r>
    </w:p>
    <w:p>
      <w:r>
        <w:t>The first hallucination we caught in production: pincode fields were sometimes filled in with a value that looked plausible for the property's state or city, but wasn't the actual pincode printed anywhere in the document — the AI was guessing from general geography knowledge instead of reading the page.</w:t>
      </w:r>
    </w:p>
    <w:p>
      <w:r>
        <w:t>We fixed this with a deterministic check that runs after extraction: take the pincode's digits and search for them literally, anywhere in the document's own extracted text. If they're not there, the pincode gets blanked out rather than kept.</w:t>
      </w:r>
    </w:p>
    <w:p>
      <w:r>
        <w:t>That fix wasn't the whole story, though. On a batch of Black Olive Ventures documents, pincodes were still coming back wrong — but this time the digits genuinely DID appear in the document text, so the first check passed them through. Looking closer, the digits were sitting inside a digital-signature certificate block at the bottom of the PDF (a "postalCode=" field identifying where the signing certificate was issued — nothing to do with the property itself). We had to add a second, more specific check: if every occurrence of those digits in the document is immediately preceded by "postalCode=", it doesn't count as a real appearance, and the pincode still gets blanked.</w:t>
      </w:r>
    </w:p>
    <w:p>
      <w:pPr>
        <w:pStyle w:val="Heading2"/>
      </w:pPr>
      <w:r>
        <w:t>Branch name getting swapped with an unrelated nearby label</w:t>
      </w:r>
    </w:p>
    <w:p>
      <w:r>
        <w:t>On some vendor forms, the word "Branch" sits visually close to other labels like "Nearest Railway Station" or "Nearest Bus Stand", with little to separate them in the extracted text. The AI would occasionally grab the wrong neighbour — returning "Nearest Railway Station" as the branch name, verbatim.</w:t>
      </w:r>
    </w:p>
    <w:p>
      <w:r>
        <w:t>Our first fix rejected a short list of known lookalike label text. That fix then caused a real false positive: on a genuine document from Chitradurga, the branch name legitimately WAS the same word as the city ("Chitradurga"), and our check was nulling it out just because it matched the city field — destroying a correct answer to guard against a wrong one. We fixed that by checking whether the value is actually anchored next to a real "Branch" label nearby in the source text; if it is, it's genuine and gets kept even when it matches the city.</w:t>
      </w:r>
    </w:p>
    <w:p>
      <w:r>
        <w:t>Finally, per an explicit instruction — if the branch name isn't stated anywhere in the source document at all, it should be left blank rather than filled with anything — we added a third, broader check: branch must appear somewhere in the document's own text, full stop, or it gets nulled.</w:t>
      </w:r>
    </w:p>
    <w:p>
      <w:pPr>
        <w:pStyle w:val="Heading2"/>
      </w:pPr>
      <w:r>
        <w:t>A field quietly borrowing an answer from somewhere else in the report</w:t>
      </w:r>
    </w:p>
    <w:p>
      <w:r>
        <w:t>"Development in vicinity" (how developed the surrounding area is) sometimes came back filled in using unrelated narrative text pulled from the Remarks section, instead of its own actual labelled answer elsewhere in the document. Fixed by requiring that a value only counts if the document genuinely contains that field's real label phrase nearby — otherwise it's blanked rather than borrowed from another field.</w:t>
      </w:r>
    </w:p>
    <w:p>
      <w:pPr>
        <w:pStyle w:val="Heading2"/>
      </w:pPr>
      <w:r>
        <w:t>Legal boilerplate swallowing the real remarks</w:t>
      </w:r>
    </w:p>
    <w:p>
      <w:r>
        <w:t>Several vendors' reports include a fixed legal disclaimer paragraph ("We hereby declare that... the property was inspected by our engineer...") printed identically on every document. This boilerplate was sometimes getting glued onto the genuine, document-specific remarks, making the field enormous and burying the actual useful content. We added a dedicated step that recognises and strips that fixed paragraph out, keeping only the real remarks underneath.</w:t>
      </w:r>
    </w:p>
    <w:p>
      <w:pPr>
        <w:pStyle w:val="Heading2"/>
      </w:pPr>
      <w:r>
        <w:t>One vendor's construction numbers looked wrong — until we re-read the table properly</w:t>
      </w:r>
    </w:p>
    <w:p>
      <w:r>
        <w:t>A vendor called AK Associates was producing a disproportionate number of errors on construction rate, construction value, and built-up area. Our first theory about why was built entirely on plain-text extraction — and it was wrong, because that plain text was garbled enough to be actively misleading.</w:t>
      </w:r>
    </w:p>
    <w:p>
      <w:r>
        <w:t>Re-parsing the same documents through Docling's structured table reader revealed the real layout: one shared valuation table listing land value AND construction value as separate rows, each with its own rate and value column, distinguished only by which row you were reading. We rebuilt the extraction rule around that real structure — recognise a non-land row in this specific table as a construction rate/value entry — and confirmed it by checking the arithmetic actually reconciled: e.g. 1,111 sqft × Rs. 1,200/sqft = Rs. 1,333,200, matching the document's own stated figure exactly.</w:t>
      </w:r>
    </w:p>
    <w:p>
      <w:r>
        <w:t>While in there, we also fixed a formatting issue in built-up and construction area: floors listed as "0 sqft" (meaning that floor simply doesn't exist) were cluttering the final answer and throwing off totals, and some table cells had two numbers squashed into one (like "242 0") that needed to be split back into their two separate floors rather than read as a single garbled figure.</w:t>
      </w:r>
    </w:p>
    <w:p>
      <w:pPr>
        <w:pStyle w:val="Heading2"/>
      </w:pPr>
      <w:r>
        <w:t>A second vendor, a similar problem, a differently-shaped table</w:t>
      </w:r>
    </w:p>
    <w:p>
      <w:r>
        <w:t>DP Engineers &amp; Consultancy had a similar-looking problem: land rate was frequently coming back empty. Diagnosed the same way — a shared valuation table where the Land Value row carried its own rate figure in a separate column — and fixed with a matching fallback rule, plus a rule to drop rows where both area and rate are zero (junk rows that shouldn't be treated as real data).</w:t>
      </w:r>
    </w:p>
    <w:p>
      <w:pPr>
        <w:pStyle w:val="Heading2"/>
      </w:pPr>
      <w:r>
        <w:t>Reviewing a big batch of flagged errors, and knowing when NOT to change anything</w:t>
      </w:r>
    </w:p>
    <w:p>
      <w:r>
        <w:t>A pan-India review spreadsheet flagged dozens of potential issues across many vendors at once. We went through each one and only changed code for the ones we could actually prove were bugs with real evidence from the documents themselves.</w:t>
      </w:r>
    </w:p>
    <w:p>
      <w:r>
        <w:t>Several flagged items turned out not to need any change at all: one (marketability for sale) was initially flagged as a gap, but on a closer re-read of the existing rule, it was already handling that exact case correctly — so nothing was touched, and we said so explicitly rather than making an unnecessary change. Another (a government guideline-rate table appearing misaligned on one vendor's documents) looked suspicious but wasn't backed by enough evidence across multiple documents to safely change — fixing it from a single example risked breaking something that already worked correctly on every other document, so it was left alone and documented as a known open question instead of guessed at.</w:t>
      </w:r>
    </w:p>
    <w:p>
      <w:r>
        <w:t>One flagged issue — "Total Value" sometimes differing slightly between two runs of the exact same document — turned out to be genuine AI non-determinism: the same input, run twice through the same model, can come back with very slightly different rounding or phrasing. That isn't a bug a prompt instruction can fix; it's an inherent property of how these AI models work, so it was documented as a known limitation rather than chased as a fixable bug.</w:t>
      </w:r>
    </w:p>
    <w:p>
      <w:pPr>
        <w:pStyle w:val="Heading2"/>
      </w:pPr>
      <w:r>
        <w:t>A fix that read correctly, but the AI didn't reliably follow it</w:t>
      </w:r>
    </w:p>
    <w:p>
      <w:r>
        <w:t>On DP Engineers documents, "Type of Structure" was sometimes coming back as the answer to a completely different, nearby row — "Foundation/Roof/Flooring" — because both rows happen to list similar-sounding construction material words. We first tried fixing this the simple way: adding a plain-English instruction telling the AI not to confuse the two rows.</w:t>
      </w:r>
    </w:p>
    <w:p>
      <w:r>
        <w:t>Re-testing against the real document afterward, the AI made the exact same mistake again. A written instruction to an AI model is followed most of the time, not guaranteed every time, so a prompt change alone wasn't dependable here. We built a second, code-level check instead: after extraction, verify whether the returned value is genuinely sitting next to the real "Type of Structure" label in the document text, or whether it's actually anchored to that other row instead — and blank it out if it's the latter. This doesn't depend on the AI behaving correctly; it's a fact we can check directly against the source text.</w:t>
      </w:r>
    </w:p>
    <w:p>
      <w:pPr>
        <w:pStyle w:val="Heading2"/>
      </w:pPr>
      <w:r>
        <w:t>A safety check that was too strict, and blocked a genuinely correct answer</w:t>
      </w:r>
    </w:p>
    <w:p>
      <w:r>
        <w:t>We had built a safety check that blanks out any extracted value suspiciously matching one of our own internal training examples — a guard against the AI copying a sample answer instead of reading the real document. While confirming the DP Engineers land-rate fix above, we found this exact check misfiring: a land rate of "Rs. 1500 per Sqft" was being wrongly blanked out, even though we could prove it was correct — 1,344 sqft × Rs. 1,500 = Rs. 2,016,000, matching the document's own stated land value exactly.</w:t>
      </w:r>
    </w:p>
    <w:p>
      <w:r>
        <w:t>The cause: that same number, coincidentally, also appears as an example answer inside the AI's own instructions, and the safety check's fallback logic (meant to rescue genuinely-present short numbers) only kicked in for numbers with 5 or more digits — "1500" has only 4. We loosened that specific threshold, then re-tested it both against this real, previously-broken case (now correctly kept) and against a genuinely fabricated example value on a separate test (still correctly caught and blanked), so the fix didn't just move the problem somewhere else.</w:t>
      </w:r>
    </w:p>
    <w:p>
      <w:pPr>
        <w:pStyle w:val="Heading1"/>
      </w:pPr>
      <w:r>
        <w:t>Problems We Faced While Deploying It</w:t>
      </w:r>
    </w:p>
    <w:p>
      <w:pPr>
        <w:pStyle w:val="Heading2"/>
      </w:pPr>
      <w:r>
        <w:t>A worker-count setting that could silently run the server out of memory</w:t>
      </w:r>
    </w:p>
    <w:p>
      <w:r>
        <w:t>The large-batch processing script's default number of parallel workers wasn't actually tied to the setting meant to control it — meaning, left on defaults, it could launch more workers than the machine's memory could safely support. Fixed by tying the default directly to the intended safety setting, so the safe number is what actually runs unless someone deliberately overrides it.</w:t>
      </w:r>
    </w:p>
    <w:p>
      <w:pPr>
        <w:pStyle w:val="Heading2"/>
      </w:pPr>
      <w:r>
        <w:t>The documented deployment path didn't work on the real server</w:t>
      </w:r>
    </w:p>
    <w:p>
      <w:r>
        <w:t>Following the project's own documented deployment steps — a deploy script and a Docker Compose configuration file — failed outright on the EC2 machine: the deploy script wasn't found where expected, and the "docker compose" plugin simply wasn't installed on that box. Rather than spend time installing and debugging Compose on a production server, we switched to plain "docker run" commands directly — one fewer moving part, no extra dependency to install, and it got a real container running successfully on the first working attempt.</w:t>
      </w:r>
    </w:p>
    <w:p>
      <w:pPr>
        <w:pStyle w:val="Heading2"/>
      </w:pPr>
      <w:r>
        <w:t>Working out exactly how to point a container at the right cloud resources</w:t>
      </w:r>
    </w:p>
    <w:p>
      <w:r>
        <w:t>Getting from "a container is running" to "it's actually doing the right job" took several rounds of trial and correction: confirming which Docker image tag was genuinely the latest one just pushed, working out how AWS credentials reach the container, confirming the correct S3 bucket and SQS queue names, and matching the exact command-line flags each script expected. Each round was resolved the same way — run it, read the real error message, adjust the command, try again — rather than guessing blind.</w:t>
      </w:r>
    </w:p>
    <w:p>
      <w:pPr>
        <w:pStyle w:val="Heading2"/>
      </w:pPr>
      <w:r>
        <w:t>A batch-numbering bug caught before it caused real damage</w:t>
      </w:r>
    </w:p>
    <w:p>
      <w:r>
        <w:t>While building the feature that automatically moves a finished PDF into a "processed" or "failed" folder, we realised mid-build that moving files DURING a run would break an assumption the resume logic quietly depended on: that "batch number 2" always means the exact same set of documents, every time the script runs. If files were moved out of the input folder while a run was still in progress, a later resumed run would compute batch numbers differently and scramble everything — reports could end up describing the wrong documents entirely.</w:t>
      </w:r>
    </w:p>
    <w:p>
      <w:r>
        <w:t>We caught this before finishing the feature and redesigned it: instead of moving each file immediately after it finishes, the script now collects a list of "things to move" as it goes, and only actually performs the moves once the whole run — or an interrupted one — is done.</w:t>
      </w:r>
    </w:p>
    <w:p>
      <w:pPr>
        <w:pStyle w:val="Heading2"/>
      </w:pPr>
      <w:r>
        <w:t>Making sure a second run never reprocesses the same documents twice</w:t>
      </w:r>
    </w:p>
    <w:p>
      <w:r>
        <w:t>The step that lists which documents still need processing had to be taught to skip anything already sitting in the "processed" or "failed" folders from an earlier run. Without that, re-running the listing step a second time — for example, after adding a new batch of PDFs to the same input folder — would silently re-queue and reprocess every document already finished, wasting real processing time and real AI-call costs on work already done.</w:t>
      </w:r>
    </w:p>
    <w:p>
      <w:pPr>
        <w:pStyle w:val="Heading2"/>
      </w:pPr>
      <w:r>
        <w:t>A scanned-document filter with no reliable way to know page count in advance</w:t>
      </w:r>
    </w:p>
    <w:p>
      <w:r>
        <w:t>We built a pre-filter script to detect and skip documents from a specific reporting platform before they ever entered the main pipeline, by searching for an exact phrase buried in the document body. Complication: some of these documents are scanned images with no selectable text at all, and there was no reliable way to know a document's page count in advance, so a fixed-page-count approach couldn't work. We solved it by reusing the project's existing OCR reader as a fallback specifically for documents with no digital text layer, rather than assuming any fixed document shape upfront.</w:t>
      </w:r>
    </w:p>
    <w:p>
      <w:pPr>
        <w:pStyle w:val="Heading2"/>
      </w:pPr>
      <w:r>
        <w:t>A live API key accidentally shared in a chat message</w:t>
      </w:r>
    </w:p>
    <w:p>
      <w:r>
        <w:t>While sharing server configuration for troubleshooting, a real, working cloud API key was pasted directly into the conversation. We flagged this immediately as a genuine security exposure and recommended rotating the key right away — even though that particular backend wasn't the one actively in use at the time (the server was configured to use AWS Bedrock instead). An exposed key has to be treated as compromised regardless of whether it happens to be in active use.</w:t>
      </w:r>
    </w:p>
    <w:p>
      <w:pPr>
        <w:pStyle w:val="Heading2"/>
      </w:pPr>
      <w:r>
        <w:t>"Name already in use" — a container conflict when restarting a run</w:t>
      </w:r>
    </w:p>
    <w:p>
      <w:r>
        <w:t>Trying to start a new container under the same name as a previous one failed immediately with a "name already in use" error, because the old container was still sitting there — either finished, or potentially still actively running. We learned to always check a container's real status first before touching it: never remove one that's still genuinely running, since that would kill real in-progress work rather than just clean up a leftover.</w:t>
      </w:r>
    </w:p>
    <w:p>
      <w:pPr>
        <w:pStyle w:val="Heading2"/>
      </w:pPr>
      <w:r>
        <w:t>A confusing AWS error that pointed nowhere near the real cause</w:t>
      </w:r>
    </w:p>
    <w:p>
      <w:r>
        <w:t>A basic "show me what would be queued" command failed immediately with "You must specify a region" — despite the configuration file clearly listing a region. The real cause took real digging: AWS's own code library only recognises region information under one specific setting name (AWS_DEFAULT_REGION), while this project's own configuration used a different, equally reasonable name (AWS_REGION) that the library simply never checks. Every other part of the codebase that talks to AWS had already worked around this — by passing the region directly in code instead of relying on that environment variable — but this one script had been missed when it was written. Fixed the same way everywhere else in the project already had: pass the region explicitly in code, rather than hoping an environment variable's name happens to match what the AWS library expects.</w:t>
      </w:r>
    </w:p>
    <w:p>
      <w:pPr>
        <w:pStyle w:val="Heading2"/>
      </w:pPr>
      <w:r>
        <w:t>Choosing between a more resilient design and a simpler one</w:t>
      </w:r>
    </w:p>
    <w:p>
      <w:r>
        <w:t>Two different ways exist to run a big batch of documents: one built around a proper task queue, where a crash mid-run never loses work because anything unfinished simply becomes available again automatically for another worker to pick up; and a simpler one that just lists files directly with no queue involved, which is easier to operate and reason about, but is explicitly not designed for very large runs — a crash partway through that one loses whatever wasn't already saved.</w:t>
      </w:r>
    </w:p>
    <w:p>
      <w:r>
        <w:t>After weighing the added operational complexity of the queue-based approach (including the region bug above, which it was what surfaced) against the realistic batch sizes actually being run, the simpler no-queue script was deliberately chosen for production use instead — a conscious trade-off, made with the limitation clearly understood, rather than an accidental one.</w:t>
      </w:r>
    </w:p>
    <w:p>
      <w:pPr>
        <w:pStyle w:val="Heading2"/>
      </w:pPr>
      <w:r>
        <w:t>Merging results from separate batches without losing important formatting</w:t>
      </w:r>
    </w:p>
    <w:p>
      <w:r>
        <w:t>After running several batches, one combined report was needed instead of several separate files. A first attempt merged the underlying data correctly but lost the colour-coding used to flag how confident the system was in each individual answer — colours don't survive a naive "just copy the values" merge in a spreadsheet.</w:t>
      </w:r>
    </w:p>
    <w:p>
      <w:r>
        <w:t>We rebuilt the merge step to copy each cell's actual formatting along with its value, and to combine batches correctly side-by-side rather than in a way that would corrupt the layout. There was also a false start on the row/column orientation — the first merged version had documents and fields arranged the wrong way round for how the report actually needed to be read — which was corrected once flagged.</w:t>
      </w:r>
    </w:p>
    <w:p>
      <w:pPr>
        <w:pStyle w:val="Heading2"/>
      </w:pPr>
      <w:r>
        <w:t>The local development machine had its own quiet gotchas</w:t>
      </w:r>
    </w:p>
    <w:p>
      <w:r>
        <w:t>Running the code locally initially failed with basic "module not found" errors, traced back to an older, incomplete Python environment being used by mistake instead of the correctly configured one. Separately, the PDF table-reading tool (Docling) tried to download its AI models from the internet the first time it ran, which failed outright on a machine with no general internet access — solved by pointing it directly at an already-downloaded copy of those same models sitting on local disk instead.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