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003366"/>
          <w:sz w:val="56"/>
        </w:rPr>
        <w:t>Converged Risk Assessment Framework</w:t>
        <w:br/>
        <w:br/>
      </w:r>
    </w:p>
    <w:p>
      <w:pPr>
        <w:spacing w:after="120"/>
        <w:jc w:val="center"/>
      </w:pPr>
      <w:r>
        <w:rPr>
          <w:b/>
          <w:color w:val="003366"/>
          <w:sz w:val="44"/>
        </w:rPr>
        <w:t>Business Requirements Document</w:t>
        <w:br/>
      </w:r>
    </w:p>
    <w:p>
      <w:pPr>
        <w:spacing w:after="120"/>
        <w:jc w:val="center"/>
      </w:pPr>
      <w:r>
        <w:br/>
        <w:br/>
        <w:t>Working Prototype Demo for Banking Client</w:t>
        <w:br/>
      </w:r>
      <w:r>
        <w:t>Custom Governance Solution Proof-of-Concept</w:t>
        <w:br/>
        <w:br/>
        <w:br/>
      </w:r>
      <w:r>
        <w:t>Comprehensive Technical Specification</w:t>
        <w:br/>
      </w:r>
      <w:r>
        <w:t>Including: Functional Requirements, Data Models, API Specs,</w:t>
        <w:br/>
      </w:r>
      <w:r>
        <w:t>User Stories, and Technical Architecture</w:t>
        <w:br/>
        <w:br/>
        <w:br/>
      </w:r>
      <w:r>
        <w:t>Version 1.0</w:t>
        <w:br/>
      </w:r>
      <w:r>
        <w:t>February 2026</w:t>
      </w:r>
    </w:p>
    <w:p>
      <w:r>
        <w:br w:type="page"/>
      </w:r>
    </w:p>
    <w:p>
      <w:pPr>
        <w:pStyle w:val="Heading1"/>
        <w:spacing w:before="280" w:after="120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CRAF - Business Requirements Document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February 16, 2026</w:t>
            </w:r>
          </w:p>
        </w:tc>
      </w:tr>
      <w:tr>
        <w:tc>
          <w:tcPr>
            <w:tcW w:type="dxa" w:w="4320"/>
          </w:tcPr>
          <w:p>
            <w:r>
              <w:t>Project Timeline</w:t>
            </w:r>
          </w:p>
        </w:tc>
        <w:tc>
          <w:tcPr>
            <w:tcW w:type="dxa" w:w="4320"/>
          </w:tcPr>
          <w:p>
            <w:r>
              <w:t>3-4 weeks</w:t>
            </w:r>
          </w:p>
        </w:tc>
      </w:tr>
      <w:tr>
        <w:tc>
          <w:tcPr>
            <w:tcW w:type="dxa" w:w="4320"/>
          </w:tcPr>
          <w:p>
            <w:r>
              <w:t>Target Audience</w:t>
            </w:r>
          </w:p>
        </w:tc>
        <w:tc>
          <w:tcPr>
            <w:tcW w:type="dxa" w:w="4320"/>
          </w:tcPr>
          <w:p>
            <w:r>
              <w:t>C-Suite/Senior Leadership</w:t>
            </w:r>
          </w:p>
        </w:tc>
      </w:tr>
      <w:tr>
        <w:tc>
          <w:tcPr>
            <w:tcW w:type="dxa" w:w="4320"/>
          </w:tcPr>
          <w:p>
            <w:r>
              <w:t>Demo Duration</w:t>
            </w:r>
          </w:p>
        </w:tc>
        <w:tc>
          <w:tcPr>
            <w:tcW w:type="dxa" w:w="4320"/>
          </w:tcPr>
          <w:p>
            <w:r>
              <w:t>15-20 minutes (executive overview)</w:t>
            </w:r>
          </w:p>
        </w:tc>
      </w:tr>
      <w:tr>
        <w:tc>
          <w:tcPr>
            <w:tcW w:type="dxa" w:w="4320"/>
          </w:tcPr>
          <w:p>
            <w:r>
              <w:t>Demo Type</w:t>
            </w:r>
          </w:p>
        </w:tc>
        <w:tc>
          <w:tcPr>
            <w:tcW w:type="dxa" w:w="4320"/>
          </w:tcPr>
          <w:p>
            <w:r>
              <w:t>Live demonstration - Working Prototype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Custom solution proof-of-concept</w:t>
            </w:r>
          </w:p>
        </w:tc>
      </w:tr>
    </w:tbl>
    <w:p>
      <w:pPr>
        <w:spacing w:after="120"/>
      </w:pPr>
    </w:p>
    <w:p>
      <w:pPr>
        <w:pStyle w:val="Heading2"/>
        <w:spacing w:before="200" w:after="120"/>
      </w:pPr>
      <w:r>
        <w:t>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Feb 2026</w:t>
            </w:r>
          </w:p>
        </w:tc>
        <w:tc>
          <w:tcPr>
            <w:tcW w:type="dxa" w:w="2160"/>
          </w:tcPr>
          <w:p>
            <w:r>
              <w:t>Business Analyst</w:t>
            </w:r>
          </w:p>
        </w:tc>
        <w:tc>
          <w:tcPr>
            <w:tcW w:type="dxa" w:w="2160"/>
          </w:tcPr>
          <w:p>
            <w:r>
              <w:t>Initial comprehensive requirements with full technical specifications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t>Table of Contents</w:t>
      </w:r>
    </w:p>
    <w:p>
      <w:pPr>
        <w:spacing w:after="120"/>
      </w:pPr>
      <w:r>
        <w:t>1. Executive Summary</w:t>
      </w:r>
    </w:p>
    <w:p>
      <w:pPr>
        <w:spacing w:after="120"/>
      </w:pPr>
      <w:r>
        <w:t xml:space="preserve">   1.1 Project Purpose</w:t>
      </w:r>
    </w:p>
    <w:p>
      <w:pPr>
        <w:spacing w:after="120"/>
      </w:pPr>
      <w:r>
        <w:t xml:space="preserve">   1.2 Business Problem</w:t>
      </w:r>
    </w:p>
    <w:p>
      <w:pPr>
        <w:spacing w:after="120"/>
      </w:pPr>
      <w:r>
        <w:t xml:space="preserve">   1.3 Solution Overview</w:t>
      </w:r>
    </w:p>
    <w:p>
      <w:pPr>
        <w:spacing w:after="120"/>
      </w:pPr>
      <w:r>
        <w:t xml:space="preserve">   1.4 Key Value Propositions</w:t>
      </w:r>
    </w:p>
    <w:p>
      <w:pPr>
        <w:spacing w:after="120"/>
      </w:pPr>
    </w:p>
    <w:p>
      <w:pPr>
        <w:spacing w:after="120"/>
      </w:pPr>
      <w:r>
        <w:t>2. Project Overview &amp; Objectives</w:t>
      </w:r>
    </w:p>
    <w:p>
      <w:pPr>
        <w:spacing w:after="120"/>
      </w:pPr>
      <w:r>
        <w:t xml:space="preserve">   2.1 Project Goals</w:t>
      </w:r>
    </w:p>
    <w:p>
      <w:pPr>
        <w:spacing w:after="120"/>
      </w:pPr>
      <w:r>
        <w:t xml:space="preserve">   2.2 Success Criteria</w:t>
      </w:r>
    </w:p>
    <w:p>
      <w:pPr>
        <w:spacing w:after="120"/>
      </w:pPr>
      <w:r>
        <w:t xml:space="preserve">   2.3 Constraints &amp; Assumptions</w:t>
      </w:r>
    </w:p>
    <w:p>
      <w:pPr>
        <w:spacing w:after="120"/>
      </w:pPr>
    </w:p>
    <w:p>
      <w:pPr>
        <w:spacing w:after="120"/>
      </w:pPr>
      <w:r>
        <w:t>3. Business Context &amp; Drivers</w:t>
      </w:r>
    </w:p>
    <w:p>
      <w:pPr>
        <w:spacing w:after="120"/>
      </w:pPr>
      <w:r>
        <w:t xml:space="preserve">   3.1 Regulatory Landscape</w:t>
      </w:r>
    </w:p>
    <w:p>
      <w:pPr>
        <w:spacing w:after="120"/>
      </w:pPr>
      <w:r>
        <w:t xml:space="preserve">   3.2 Market Context</w:t>
      </w:r>
    </w:p>
    <w:p>
      <w:pPr>
        <w:spacing w:after="120"/>
      </w:pPr>
      <w:r>
        <w:t xml:space="preserve">   3.3 Client Pain Points</w:t>
      </w:r>
    </w:p>
    <w:p>
      <w:pPr>
        <w:spacing w:after="120"/>
      </w:pPr>
    </w:p>
    <w:p>
      <w:pPr>
        <w:spacing w:after="120"/>
      </w:pPr>
      <w:r>
        <w:t>4. Scope &amp; Deliverables</w:t>
      </w:r>
    </w:p>
    <w:p>
      <w:pPr>
        <w:spacing w:after="120"/>
      </w:pPr>
      <w:r>
        <w:t xml:space="preserve">   4.1 In Scope</w:t>
      </w:r>
    </w:p>
    <w:p>
      <w:pPr>
        <w:spacing w:after="120"/>
      </w:pPr>
      <w:r>
        <w:t xml:space="preserve">   4.2 Out of Scope</w:t>
      </w:r>
    </w:p>
    <w:p>
      <w:pPr>
        <w:spacing w:after="120"/>
      </w:pPr>
      <w:r>
        <w:t xml:space="preserve">   4.3 Deliverables</w:t>
      </w:r>
    </w:p>
    <w:p>
      <w:pPr>
        <w:spacing w:after="120"/>
      </w:pPr>
    </w:p>
    <w:p>
      <w:pPr>
        <w:spacing w:after="120"/>
      </w:pPr>
      <w:r>
        <w:t>5. Functional Requirements</w:t>
      </w:r>
    </w:p>
    <w:p>
      <w:pPr>
        <w:spacing w:after="120"/>
      </w:pPr>
      <w:r>
        <w:t xml:space="preserve">   5.1 Inherent Risk Assessment</w:t>
      </w:r>
    </w:p>
    <w:p>
      <w:pPr>
        <w:spacing w:after="120"/>
      </w:pPr>
      <w:r>
        <w:t xml:space="preserve">   5.2 Control Quality Assessment</w:t>
      </w:r>
    </w:p>
    <w:p>
      <w:pPr>
        <w:spacing w:after="120"/>
      </w:pPr>
      <w:r>
        <w:t xml:space="preserve">   5.3 Control Performance Assessment</w:t>
      </w:r>
    </w:p>
    <w:p>
      <w:pPr>
        <w:spacing w:after="120"/>
      </w:pPr>
      <w:r>
        <w:t xml:space="preserve">   5.4 Residual Risk Calculation</w:t>
      </w:r>
    </w:p>
    <w:p>
      <w:pPr>
        <w:spacing w:after="120"/>
      </w:pPr>
      <w:r>
        <w:t xml:space="preserve">   5.5 Dashboard &amp; Reporting</w:t>
      </w:r>
    </w:p>
    <w:p>
      <w:pPr>
        <w:spacing w:after="120"/>
      </w:pPr>
      <w:r>
        <w:t xml:space="preserve">   5.6 Early Warning Indicators</w:t>
      </w:r>
    </w:p>
    <w:p>
      <w:pPr>
        <w:spacing w:after="120"/>
      </w:pPr>
    </w:p>
    <w:p>
      <w:pPr>
        <w:spacing w:after="120"/>
      </w:pPr>
      <w:r>
        <w:t>6. Dashboard Specifications</w:t>
      </w:r>
    </w:p>
    <w:p>
      <w:pPr>
        <w:spacing w:after="120"/>
      </w:pPr>
      <w:r>
        <w:t xml:space="preserve">   6.1 Executive Dashboard</w:t>
      </w:r>
    </w:p>
    <w:p>
      <w:pPr>
        <w:spacing w:after="120"/>
      </w:pPr>
      <w:r>
        <w:t xml:space="preserve">   6.2 Risk Assessment Views</w:t>
      </w:r>
    </w:p>
    <w:p>
      <w:pPr>
        <w:spacing w:after="120"/>
      </w:pPr>
      <w:r>
        <w:t xml:space="preserve">   6.3 Drill-Down Navigation</w:t>
      </w:r>
    </w:p>
    <w:p>
      <w:pPr>
        <w:spacing w:after="120"/>
      </w:pPr>
      <w:r>
        <w:t xml:space="preserve">   6.4 Comparison Views</w:t>
      </w:r>
    </w:p>
    <w:p>
      <w:pPr>
        <w:spacing w:after="120"/>
      </w:pPr>
    </w:p>
    <w:p>
      <w:pPr>
        <w:spacing w:after="120"/>
      </w:pPr>
      <w:r>
        <w:t>7. Data Model &amp; Entities</w:t>
      </w:r>
    </w:p>
    <w:p>
      <w:pPr>
        <w:spacing w:after="120"/>
      </w:pPr>
      <w:r>
        <w:t xml:space="preserve">   7.1 Core Entities</w:t>
      </w:r>
    </w:p>
    <w:p>
      <w:pPr>
        <w:spacing w:after="120"/>
      </w:pPr>
      <w:r>
        <w:t xml:space="preserve">   7.2 Assessment Unit Structure</w:t>
      </w:r>
    </w:p>
    <w:p>
      <w:pPr>
        <w:spacing w:after="120"/>
      </w:pPr>
      <w:r>
        <w:t xml:space="preserve">   7.3 Sample Data Specifications</w:t>
      </w:r>
    </w:p>
    <w:p>
      <w:pPr>
        <w:spacing w:after="120"/>
      </w:pPr>
    </w:p>
    <w:p>
      <w:pPr>
        <w:spacing w:after="120"/>
      </w:pPr>
      <w:r>
        <w:t>8. Database Schema</w:t>
      </w:r>
    </w:p>
    <w:p>
      <w:pPr>
        <w:spacing w:after="120"/>
      </w:pPr>
      <w:r>
        <w:t xml:space="preserve">   8.1 Table Definitions</w:t>
      </w:r>
    </w:p>
    <w:p>
      <w:pPr>
        <w:spacing w:after="120"/>
      </w:pPr>
      <w:r>
        <w:t xml:space="preserve">   8.2 Relationships</w:t>
      </w:r>
    </w:p>
    <w:p>
      <w:pPr>
        <w:spacing w:after="120"/>
      </w:pPr>
      <w:r>
        <w:t xml:space="preserve">   8.3 Indexes &amp; Constraints</w:t>
      </w:r>
    </w:p>
    <w:p>
      <w:pPr>
        <w:spacing w:after="120"/>
      </w:pPr>
    </w:p>
    <w:p>
      <w:pPr>
        <w:spacing w:after="120"/>
      </w:pPr>
      <w:r>
        <w:t>9. API Specifications</w:t>
      </w:r>
    </w:p>
    <w:p>
      <w:pPr>
        <w:spacing w:after="120"/>
      </w:pPr>
      <w:r>
        <w:t xml:space="preserve">   9.1 REST API Endpoints</w:t>
      </w:r>
    </w:p>
    <w:p>
      <w:pPr>
        <w:spacing w:after="120"/>
      </w:pPr>
      <w:r>
        <w:t xml:space="preserve">   9.2 Request/Response Formats</w:t>
      </w:r>
    </w:p>
    <w:p>
      <w:pPr>
        <w:spacing w:after="120"/>
      </w:pPr>
      <w:r>
        <w:t xml:space="preserve">   9.3 Authentication</w:t>
      </w:r>
    </w:p>
    <w:p>
      <w:pPr>
        <w:spacing w:after="120"/>
      </w:pPr>
    </w:p>
    <w:p>
      <w:pPr>
        <w:spacing w:after="120"/>
      </w:pPr>
      <w:r>
        <w:t>10. User Stories &amp; Use Cases</w:t>
      </w:r>
    </w:p>
    <w:p>
      <w:pPr>
        <w:spacing w:after="120"/>
      </w:pPr>
      <w:r>
        <w:t xml:space="preserve">    10.1 Audit Finding Remediation</w:t>
      </w:r>
    </w:p>
    <w:p>
      <w:pPr>
        <w:spacing w:after="120"/>
      </w:pPr>
      <w:r>
        <w:t xml:space="preserve">    10.2 Control Failure Investigation</w:t>
      </w:r>
    </w:p>
    <w:p>
      <w:pPr>
        <w:spacing w:after="120"/>
      </w:pPr>
      <w:r>
        <w:t xml:space="preserve">    10.3 New Regulation Impact Assessment</w:t>
      </w:r>
    </w:p>
    <w:p>
      <w:pPr>
        <w:spacing w:after="120"/>
      </w:pPr>
    </w:p>
    <w:p>
      <w:pPr>
        <w:spacing w:after="120"/>
      </w:pPr>
      <w:r>
        <w:t>11. Technical Architecture</w:t>
      </w:r>
    </w:p>
    <w:p>
      <w:pPr>
        <w:spacing w:after="120"/>
      </w:pPr>
      <w:r>
        <w:t xml:space="preserve">    11.1 System Architecture</w:t>
      </w:r>
    </w:p>
    <w:p>
      <w:pPr>
        <w:spacing w:after="120"/>
      </w:pPr>
      <w:r>
        <w:t xml:space="preserve">    11.2 Technology Stack</w:t>
      </w:r>
    </w:p>
    <w:p>
      <w:pPr>
        <w:spacing w:after="120"/>
      </w:pPr>
      <w:r>
        <w:t xml:space="preserve">    11.3 Component Design</w:t>
      </w:r>
    </w:p>
    <w:p>
      <w:pPr>
        <w:spacing w:after="120"/>
      </w:pPr>
    </w:p>
    <w:p>
      <w:pPr>
        <w:spacing w:after="120"/>
      </w:pPr>
      <w:r>
        <w:t>12. Acceptance Criteria</w:t>
      </w:r>
    </w:p>
    <w:p>
      <w:pPr>
        <w:spacing w:after="120"/>
      </w:pPr>
      <w:r>
        <w:t xml:space="preserve">    12.1 Functional Acceptance</w:t>
      </w:r>
    </w:p>
    <w:p>
      <w:pPr>
        <w:spacing w:after="120"/>
      </w:pPr>
      <w:r>
        <w:t xml:space="preserve">    12.2 Performance Criteria</w:t>
      </w:r>
    </w:p>
    <w:p>
      <w:pPr>
        <w:spacing w:after="120"/>
      </w:pPr>
      <w:r>
        <w:t xml:space="preserve">    12.3 Demo Readiness</w:t>
      </w:r>
    </w:p>
    <w:p>
      <w:pPr>
        <w:spacing w:after="120"/>
      </w:pPr>
    </w:p>
    <w:p>
      <w:pPr>
        <w:spacing w:after="120"/>
      </w:pPr>
      <w:r>
        <w:t>13. Implementation Roadmap</w:t>
      </w:r>
    </w:p>
    <w:p>
      <w:pPr>
        <w:spacing w:after="120"/>
      </w:pPr>
      <w:r>
        <w:t xml:space="preserve">    13.1 Week 1: Foundation</w:t>
      </w:r>
    </w:p>
    <w:p>
      <w:pPr>
        <w:spacing w:after="120"/>
      </w:pPr>
      <w:r>
        <w:t xml:space="preserve">    13.2 Week 2: Core Features</w:t>
      </w:r>
    </w:p>
    <w:p>
      <w:pPr>
        <w:spacing w:after="120"/>
      </w:pPr>
      <w:r>
        <w:t xml:space="preserve">    13.3 Week 3: Integration &amp; Dashboards</w:t>
      </w:r>
    </w:p>
    <w:p>
      <w:pPr>
        <w:spacing w:after="120"/>
      </w:pPr>
      <w:r>
        <w:t xml:space="preserve">    13.4 Week 4: Testing &amp; Refinement</w:t>
      </w:r>
    </w:p>
    <w:p>
      <w:pPr>
        <w:spacing w:after="120"/>
      </w:pPr>
    </w:p>
    <w:p>
      <w:pPr>
        <w:spacing w:after="120"/>
      </w:pPr>
      <w:r>
        <w:t>14. Future Enhancements</w:t>
      </w:r>
    </w:p>
    <w:p>
      <w:pPr>
        <w:spacing w:after="120"/>
      </w:pPr>
      <w:r>
        <w:t xml:space="preserve">    14.1 Alerts &amp; Notifications</w:t>
      </w:r>
    </w:p>
    <w:p>
      <w:pPr>
        <w:spacing w:after="120"/>
      </w:pPr>
      <w:r>
        <w:t xml:space="preserve">    14.2 Workflow Management</w:t>
      </w:r>
    </w:p>
    <w:p>
      <w:pPr>
        <w:spacing w:after="120"/>
      </w:pPr>
      <w:r>
        <w:t xml:space="preserve">    14.3 Audit Trail</w:t>
      </w:r>
    </w:p>
    <w:p>
      <w:pPr>
        <w:spacing w:after="120"/>
      </w:pPr>
      <w:r>
        <w:t xml:space="preserve">    14.4 Export Capabilities</w:t>
      </w:r>
    </w:p>
    <w:p>
      <w:pPr>
        <w:spacing w:after="120"/>
      </w:pPr>
    </w:p>
    <w:p>
      <w:pPr>
        <w:spacing w:after="120"/>
      </w:pPr>
      <w:r>
        <w:t>Appendix A: Sample Assessment Units</w:t>
      </w:r>
    </w:p>
    <w:p>
      <w:pPr>
        <w:spacing w:after="120"/>
      </w:pPr>
      <w:r>
        <w:t>Appendix B: RBI Regulatory References</w:t>
      </w:r>
    </w:p>
    <w:p>
      <w:pPr>
        <w:spacing w:after="120"/>
      </w:pPr>
      <w:r>
        <w:t>Appendix C: Glossary of Terms</w:t>
      </w:r>
    </w:p>
    <w:p>
      <w:r>
        <w:br w:type="page"/>
      </w:r>
    </w:p>
    <w:p>
      <w:pPr>
        <w:pStyle w:val="Heading1"/>
        <w:spacing w:before="280" w:after="120"/>
      </w:pPr>
      <w:r>
        <w:t>1. Executive Summary</w:t>
      </w:r>
    </w:p>
    <w:p>
      <w:pPr>
        <w:spacing w:after="120"/>
      </w:pPr>
      <w:r>
        <w:t>This Business Requirements Document (BRD) provides comprehensive specifications for developing a Converged Risk Assessment Framework (CRAF) demonstration prototype for a banking client. The prototype showcases a custom governance solution designed to address Reserve Bank of India (RBI) regulatory compliance mandates while delivering significant cost savings compared to traditional Governance, Risk &amp; Compliance (GRC) platforms.</w:t>
      </w:r>
    </w:p>
    <w:p>
      <w:pPr>
        <w:pStyle w:val="Heading2"/>
        <w:spacing w:before="200" w:after="120"/>
      </w:pPr>
      <w:r>
        <w:t>1.1 Project Purpose</w:t>
      </w:r>
    </w:p>
    <w:p>
      <w:pPr>
        <w:spacing w:after="120"/>
      </w:pPr>
      <w:r>
        <w:t>The primary objective is to win a new client contract by demonstrating a cost-effective, feature-rich governance framework that meets all RBI regulatory requirements. The demo targets C-Suite executives and will be delivered as a 15-20 minute live demonstration showcasing a fully functional working prototype.</w:t>
      </w:r>
    </w:p>
    <w:p>
      <w:pPr>
        <w:pStyle w:val="Heading2"/>
        <w:spacing w:before="200" w:after="120"/>
      </w:pPr>
      <w:r>
        <w:t>1.2 Business Problem</w:t>
      </w:r>
    </w:p>
    <w:p>
      <w:pPr>
        <w:spacing w:after="120"/>
      </w:pPr>
      <w:r>
        <w:t>Indian banks and Non-Banking Financial Companies (NBFCs) are facing critical challenges:</w:t>
      </w:r>
    </w:p>
    <w:p>
      <w:pPr>
        <w:pStyle w:val="ListBullet"/>
      </w:pPr>
      <w:r>
        <w:t>RBI has mandated implementation of comprehensive governance frameworks</w:t>
      </w:r>
    </w:p>
    <w:p>
      <w:pPr>
        <w:pStyle w:val="ListBullet"/>
      </w:pPr>
      <w:r>
        <w:t>Current market solutions (SAP GRC, SAS GCM, RSA Archer) require investments running into crores</w:t>
      </w:r>
    </w:p>
    <w:p>
      <w:pPr>
        <w:pStyle w:val="ListBullet"/>
      </w:pPr>
      <w:r>
        <w:t>Many financial institutions lack complete or adequate governance frameworks</w:t>
      </w:r>
    </w:p>
    <w:p>
      <w:pPr>
        <w:pStyle w:val="ListBullet"/>
      </w:pPr>
      <w:r>
        <w:t>Manual compliance and risk assessment processes are time-consuming, error-prone, and resource-intensive</w:t>
      </w:r>
    </w:p>
    <w:p>
      <w:pPr>
        <w:pStyle w:val="ListBullet"/>
      </w:pPr>
      <w:r>
        <w:t>Increasing regulatory compliance pressure with frequent RBI circulars and guideline updates</w:t>
      </w:r>
    </w:p>
    <w:p>
      <w:pPr>
        <w:pStyle w:val="ListBullet"/>
      </w:pPr>
      <w:r>
        <w:t>Fragmented view of risk across compliance and financial reporting domains</w:t>
      </w:r>
    </w:p>
    <w:p>
      <w:pPr>
        <w:pStyle w:val="Heading2"/>
        <w:spacing w:before="200" w:after="120"/>
      </w:pPr>
      <w:r>
        <w:t>1.3 Solution Overview</w:t>
      </w:r>
    </w:p>
    <w:p>
      <w:pPr>
        <w:spacing w:after="120"/>
      </w:pPr>
      <w:r>
        <w:t>The Converged Risk Assessment Framework is a custom-built solution that integrates Compliance Risk and Financial Reporting Risk management into a unified platform. Key capabilities include:</w:t>
      </w:r>
    </w:p>
    <w:p>
      <w:pPr>
        <w:pStyle w:val="ListBullet"/>
      </w:pPr>
      <w:r>
        <w:t>Automated Inherent Risk Assessment based on parametric scoring (Likelihood × Impact)</w:t>
      </w:r>
    </w:p>
    <w:p>
      <w:pPr>
        <w:pStyle w:val="ListBullet"/>
      </w:pPr>
      <w:r>
        <w:t>Comprehensive Control Quality Assessment evaluating design effectiveness</w:t>
      </w:r>
    </w:p>
    <w:p>
      <w:pPr>
        <w:pStyle w:val="ListBullet"/>
      </w:pPr>
      <w:r>
        <w:t>Control Performance Assessment tracking monitoring and testing results</w:t>
      </w:r>
    </w:p>
    <w:p>
      <w:pPr>
        <w:pStyle w:val="ListBullet"/>
      </w:pPr>
      <w:r>
        <w:t>Automated Residual Risk calculation with drill-down from enterprise to obligation level</w:t>
      </w:r>
    </w:p>
    <w:p>
      <w:pPr>
        <w:pStyle w:val="ListBullet"/>
      </w:pPr>
      <w:r>
        <w:t>Executive dashboards with real-time and periodic assessment capabilities</w:t>
      </w:r>
    </w:p>
    <w:p>
      <w:pPr>
        <w:pStyle w:val="ListBullet"/>
      </w:pPr>
      <w:r>
        <w:t>Early warning indicators for proactive risk management</w:t>
      </w:r>
    </w:p>
    <w:p>
      <w:pPr>
        <w:pStyle w:val="ListBullet"/>
      </w:pPr>
      <w:r>
        <w:t>Coverage of 30+ Assessment Units across all business areas</w:t>
      </w:r>
    </w:p>
    <w:p>
      <w:pPr>
        <w:pStyle w:val="ListBullet"/>
      </w:pPr>
      <w:r>
        <w:t>Emphasis on RBI regulatory requirements and compliance obligations</w:t>
      </w:r>
    </w:p>
    <w:p>
      <w:pPr>
        <w:pStyle w:val="Heading2"/>
        <w:spacing w:before="200" w:after="120"/>
      </w:pPr>
      <w:r>
        <w:t>1.4 Key Value Propositions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Value Driver</w:t>
            </w:r>
          </w:p>
        </w:tc>
        <w:tc>
          <w:tcPr>
            <w:tcW w:type="dxa" w:w="4320"/>
          </w:tcPr>
          <w:p>
            <w:r>
              <w:t>Benefit</w:t>
            </w:r>
          </w:p>
        </w:tc>
      </w:tr>
      <w:tr>
        <w:tc>
          <w:tcPr>
            <w:tcW w:type="dxa" w:w="4320"/>
          </w:tcPr>
          <w:p>
            <w:r>
              <w:t>Cost Reduction</w:t>
            </w:r>
          </w:p>
        </w:tc>
        <w:tc>
          <w:tcPr>
            <w:tcW w:type="dxa" w:w="4320"/>
          </w:tcPr>
          <w:p>
            <w:r>
              <w:t>Custom solution at fraction of commercial GRC platform costs (savings in crores)</w:t>
            </w:r>
          </w:p>
        </w:tc>
      </w:tr>
      <w:tr>
        <w:tc>
          <w:tcPr>
            <w:tcW w:type="dxa" w:w="4320"/>
          </w:tcPr>
          <w:p>
            <w:r>
              <w:t>RBI Compliance</w:t>
            </w:r>
          </w:p>
        </w:tc>
        <w:tc>
          <w:tcPr>
            <w:tcW w:type="dxa" w:w="4320"/>
          </w:tcPr>
          <w:p>
            <w:r>
              <w:t>Complete coverage of RBI governance and risk management mandates</w:t>
            </w:r>
          </w:p>
        </w:tc>
      </w:tr>
      <w:tr>
        <w:tc>
          <w:tcPr>
            <w:tcW w:type="dxa" w:w="4320"/>
          </w:tcPr>
          <w:p>
            <w:r>
              <w:t>Converged Approach</w:t>
            </w:r>
          </w:p>
        </w:tc>
        <w:tc>
          <w:tcPr>
            <w:tcW w:type="dxa" w:w="4320"/>
          </w:tcPr>
          <w:p>
            <w:r>
              <w:t>Single platform for compliance risk and financial reporting risk (ICOFR)</w:t>
            </w:r>
          </w:p>
        </w:tc>
      </w:tr>
      <w:tr>
        <w:tc>
          <w:tcPr>
            <w:tcW w:type="dxa" w:w="4320"/>
          </w:tcPr>
          <w:p>
            <w:r>
              <w:t>Automation</w:t>
            </w:r>
          </w:p>
        </w:tc>
        <w:tc>
          <w:tcPr>
            <w:tcW w:type="dxa" w:w="4320"/>
          </w:tcPr>
          <w:p>
            <w:r>
              <w:t>Automated risk calculations reduce manual effort and improve accuracy</w:t>
            </w:r>
          </w:p>
        </w:tc>
      </w:tr>
      <w:tr>
        <w:tc>
          <w:tcPr>
            <w:tcW w:type="dxa" w:w="4320"/>
          </w:tcPr>
          <w:p>
            <w:r>
              <w:t>Enterprise Visibility</w:t>
            </w:r>
          </w:p>
        </w:tc>
        <w:tc>
          <w:tcPr>
            <w:tcW w:type="dxa" w:w="4320"/>
          </w:tcPr>
          <w:p>
            <w:r>
              <w:t>Complete risk view from individual obligations to board-level reporting</w:t>
            </w:r>
          </w:p>
        </w:tc>
      </w:tr>
      <w:tr>
        <w:tc>
          <w:tcPr>
            <w:tcW w:type="dxa" w:w="4320"/>
          </w:tcPr>
          <w:p>
            <w:r>
              <w:t>Decision Support</w:t>
            </w:r>
          </w:p>
        </w:tc>
        <w:tc>
          <w:tcPr>
            <w:tcW w:type="dxa" w:w="4320"/>
          </w:tcPr>
          <w:p>
            <w:r>
              <w:t>Data-driven insights enable informed executive decision-making</w:t>
            </w:r>
          </w:p>
        </w:tc>
      </w:tr>
    </w:tbl>
    <w:p>
      <w:r>
        <w:br w:type="page"/>
      </w:r>
    </w:p>
    <w:p>
      <w:pPr>
        <w:spacing w:after="120"/>
      </w:pPr>
    </w:p>
    <w:p>
      <w:pPr>
        <w:spacing w:after="120"/>
      </w:pPr>
      <w:r>
        <w:t>Control Design Parameters - Details:</w:t>
      </w:r>
    </w:p>
    <w:p>
      <w:pPr>
        <w:pStyle w:val="ListNumber"/>
      </w:pPr>
      <w:r>
        <w:t>Monitoring Mechanism: Automated maker-checker (5 pts), Manual maker-checker (3 pts), No maker-checker (1 pt)</w:t>
      </w:r>
    </w:p>
    <w:p>
      <w:pPr>
        <w:pStyle w:val="ListNumber"/>
      </w:pPr>
      <w:r>
        <w:t>Automation Level: Fully IT-driven (5 pts), IT-based manual (3 pts), Completely manual (1 pt)</w:t>
      </w:r>
    </w:p>
    <w:p>
      <w:pPr>
        <w:pStyle w:val="ListNumber"/>
      </w:pPr>
      <w:r>
        <w:t>Control Type: Preventive (5 pts), Detective at activity frequency (3 pts), Detective at lower frequency (1 pt)</w:t>
      </w:r>
    </w:p>
    <w:p>
      <w:pPr>
        <w:pStyle w:val="ListNumber"/>
      </w:pPr>
      <w:r>
        <w:t>Documentation: Well-documented policy/process (5 pts), No documentation (1 pt)</w:t>
      </w:r>
    </w:p>
    <w:p>
      <w:pPr>
        <w:pStyle w:val="Heading2"/>
        <w:spacing w:before="200" w:after="120"/>
      </w:pPr>
      <w:r>
        <w:t>4.3 Control Performance Assessment</w:t>
      </w:r>
    </w:p>
    <w:p>
      <w:pPr>
        <w:spacing w:after="120"/>
      </w:pPr>
      <w:r>
        <w:t>Overview: Evaluation of control operating effectiveness based on monitoring and testing.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 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FR-CPA-001</w:t>
            </w:r>
          </w:p>
        </w:tc>
        <w:tc>
          <w:tcPr>
            <w:tcW w:type="dxa" w:w="2160"/>
          </w:tcPr>
          <w:p>
            <w:r>
              <w:t>System shall integrate KCI monitoring results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KCI Pass/Fail status reflected in CPA score</w:t>
            </w:r>
          </w:p>
        </w:tc>
      </w:tr>
      <w:tr>
        <w:tc>
          <w:tcPr>
            <w:tcW w:type="dxa" w:w="2160"/>
          </w:tcPr>
          <w:p>
            <w:r>
              <w:t>FR-CPA-002</w:t>
            </w:r>
          </w:p>
        </w:tc>
        <w:tc>
          <w:tcPr>
            <w:tcW w:type="dxa" w:w="2160"/>
          </w:tcPr>
          <w:p>
            <w:r>
              <w:t>System shall integrate self-assessment results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Pass/Pass with Exception/Fail status captured</w:t>
            </w:r>
          </w:p>
        </w:tc>
      </w:tr>
      <w:tr>
        <w:tc>
          <w:tcPr>
            <w:tcW w:type="dxa" w:w="2160"/>
          </w:tcPr>
          <w:p>
            <w:r>
              <w:t>FR-CPA-003</w:t>
            </w:r>
          </w:p>
        </w:tc>
        <w:tc>
          <w:tcPr>
            <w:tcW w:type="dxa" w:w="2160"/>
          </w:tcPr>
          <w:p>
            <w:r>
              <w:t>System shall calculate CPA score from monitoring and testing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Combined score with scenario-based logic</w:t>
            </w:r>
          </w:p>
        </w:tc>
      </w:tr>
      <w:tr>
        <w:tc>
          <w:tcPr>
            <w:tcW w:type="dxa" w:w="2160"/>
          </w:tcPr>
          <w:p>
            <w:r>
              <w:t>FR-CPA-004</w:t>
            </w:r>
          </w:p>
        </w:tc>
        <w:tc>
          <w:tcPr>
            <w:tcW w:type="dxa" w:w="2160"/>
          </w:tcPr>
          <w:p>
            <w:r>
              <w:t>System shall calculate Control Performance Index (CPI)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CPI = 100% - weighted avg CPA</w:t>
            </w:r>
          </w:p>
        </w:tc>
      </w:tr>
      <w:tr>
        <w:tc>
          <w:tcPr>
            <w:tcW w:type="dxa" w:w="2160"/>
          </w:tcPr>
          <w:p>
            <w:r>
              <w:t>FR-CPA-005</w:t>
            </w:r>
          </w:p>
        </w:tc>
        <w:tc>
          <w:tcPr>
            <w:tcW w:type="dxa" w:w="2160"/>
          </w:tcPr>
          <w:p>
            <w:r>
              <w:t>System shall support periodic and real-time assessment modes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Toggle between assessment views</w:t>
            </w:r>
          </w:p>
        </w:tc>
      </w:tr>
    </w:tbl>
    <w:p>
      <w:pPr>
        <w:pStyle w:val="Heading2"/>
        <w:spacing w:before="200" w:after="120"/>
      </w:pPr>
      <w:r>
        <w:t>4.4 Residual Risk Calculation</w:t>
      </w:r>
    </w:p>
    <w:p>
      <w:pPr>
        <w:spacing w:after="120"/>
      </w:pPr>
      <w:r>
        <w:t>Overview: Final risk rating after considering control environment effectiveness.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 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FR-RR-001</w:t>
            </w:r>
          </w:p>
        </w:tc>
        <w:tc>
          <w:tcPr>
            <w:tcW w:type="dxa" w:w="2160"/>
          </w:tcPr>
          <w:p>
            <w:r>
              <w:t>System shall calculate Control Environment Rating = CQI × CPI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Automated calculation per AU</w:t>
            </w:r>
          </w:p>
        </w:tc>
      </w:tr>
      <w:tr>
        <w:tc>
          <w:tcPr>
            <w:tcW w:type="dxa" w:w="2160"/>
          </w:tcPr>
          <w:p>
            <w:r>
              <w:t>FR-RR-002</w:t>
            </w:r>
          </w:p>
        </w:tc>
        <w:tc>
          <w:tcPr>
            <w:tcW w:type="dxa" w:w="2160"/>
          </w:tcPr>
          <w:p>
            <w:r>
              <w:t>System shall calculate Residual Risk = Inherent Risk ÷ Control Environment Rating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Formula applied consistently</w:t>
            </w:r>
          </w:p>
        </w:tc>
      </w:tr>
      <w:tr>
        <w:tc>
          <w:tcPr>
            <w:tcW w:type="dxa" w:w="2160"/>
          </w:tcPr>
          <w:p>
            <w:r>
              <w:t>FR-RR-003</w:t>
            </w:r>
          </w:p>
        </w:tc>
        <w:tc>
          <w:tcPr>
            <w:tcW w:type="dxa" w:w="2160"/>
          </w:tcPr>
          <w:p>
            <w:r>
              <w:t>System shall assign residual risk ratings based on thresholds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≥6.67: Sig Improvement, &lt;6.67: Improvement, ≤2: Meets Req, ≤1: Well Controlled</w:t>
            </w:r>
          </w:p>
        </w:tc>
      </w:tr>
      <w:tr>
        <w:tc>
          <w:tcPr>
            <w:tcW w:type="dxa" w:w="2160"/>
          </w:tcPr>
          <w:p>
            <w:r>
              <w:t>FR-RR-004</w:t>
            </w:r>
          </w:p>
        </w:tc>
        <w:tc>
          <w:tcPr>
            <w:tcW w:type="dxa" w:w="2160"/>
          </w:tcPr>
          <w:p>
            <w:r>
              <w:t>System shall aggregate residual risk with weighting to Theme/Enterprise level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Weighted aggregation formula applied</w:t>
            </w:r>
          </w:p>
        </w:tc>
      </w:tr>
    </w:tbl>
    <w:p>
      <w:pPr>
        <w:pStyle w:val="Heading2"/>
        <w:spacing w:before="200" w:after="120"/>
      </w:pPr>
      <w:r>
        <w:t>4.5 Dashboard &amp; Reporting Requirements</w:t>
      </w:r>
    </w:p>
    <w:p>
      <w:pPr>
        <w:spacing w:after="120"/>
      </w:pPr>
      <w:r>
        <w:t>Overview: Executive dashboards and reporting capabilities.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 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FR-DASH-001</w:t>
            </w:r>
          </w:p>
        </w:tc>
        <w:tc>
          <w:tcPr>
            <w:tcW w:type="dxa" w:w="2160"/>
          </w:tcPr>
          <w:p>
            <w:r>
              <w:t>System shall provide Executive Dashboard with enterprise-wide risk heatmap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Visual heatmap showing all AUs by risk level</w:t>
            </w:r>
          </w:p>
        </w:tc>
      </w:tr>
      <w:tr>
        <w:tc>
          <w:tcPr>
            <w:tcW w:type="dxa" w:w="2160"/>
          </w:tcPr>
          <w:p>
            <w:r>
              <w:t>FR-DASH-002</w:t>
            </w:r>
          </w:p>
        </w:tc>
        <w:tc>
          <w:tcPr>
            <w:tcW w:type="dxa" w:w="2160"/>
          </w:tcPr>
          <w:p>
            <w:r>
              <w:t>System shall display Risk Trend Analysis (year-over-year)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Line charts showing trend across 2+ years</w:t>
            </w:r>
          </w:p>
        </w:tc>
      </w:tr>
      <w:tr>
        <w:tc>
          <w:tcPr>
            <w:tcW w:type="dxa" w:w="2160"/>
          </w:tcPr>
          <w:p>
            <w:r>
              <w:t>FR-DASH-003</w:t>
            </w:r>
          </w:p>
        </w:tc>
        <w:tc>
          <w:tcPr>
            <w:tcW w:type="dxa" w:w="2160"/>
          </w:tcPr>
          <w:p>
            <w:r>
              <w:t>System shall show Top Risk Exposures by Business Unit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Ranked list with risk scores</w:t>
            </w:r>
          </w:p>
        </w:tc>
      </w:tr>
      <w:tr>
        <w:tc>
          <w:tcPr>
            <w:tcW w:type="dxa" w:w="2160"/>
          </w:tcPr>
          <w:p>
            <w:r>
              <w:t>FR-DASH-004</w:t>
            </w:r>
          </w:p>
        </w:tc>
        <w:tc>
          <w:tcPr>
            <w:tcW w:type="dxa" w:w="2160"/>
          </w:tcPr>
          <w:p>
            <w:r>
              <w:t>System shall display Regulatory Compliance Status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Dashboard showing RBI compliance metrics</w:t>
            </w:r>
          </w:p>
        </w:tc>
      </w:tr>
      <w:tr>
        <w:tc>
          <w:tcPr>
            <w:tcW w:type="dxa" w:w="2160"/>
          </w:tcPr>
          <w:p>
            <w:r>
              <w:t>FR-DASH-005</w:t>
            </w:r>
          </w:p>
        </w:tc>
        <w:tc>
          <w:tcPr>
            <w:tcW w:type="dxa" w:w="2160"/>
          </w:tcPr>
          <w:p>
            <w:r>
              <w:t>System shall support drill-down navigation: Enterprise → Theme → AU → Obligation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4-level drill-down operational</w:t>
            </w:r>
          </w:p>
        </w:tc>
      </w:tr>
      <w:tr>
        <w:tc>
          <w:tcPr>
            <w:tcW w:type="dxa" w:w="2160"/>
          </w:tcPr>
          <w:p>
            <w:r>
              <w:t>FR-DASH-006</w:t>
            </w:r>
          </w:p>
        </w:tc>
        <w:tc>
          <w:tcPr>
            <w:tcW w:type="dxa" w:w="2160"/>
          </w:tcPr>
          <w:p>
            <w:r>
              <w:t>System shall show before/after control implementation comparison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Side-by-side comparison view</w:t>
            </w:r>
          </w:p>
        </w:tc>
      </w:tr>
      <w:tr>
        <w:tc>
          <w:tcPr>
            <w:tcW w:type="dxa" w:w="2160"/>
          </w:tcPr>
          <w:p>
            <w:r>
              <w:t>FR-DASH-007</w:t>
            </w:r>
          </w:p>
        </w:tc>
        <w:tc>
          <w:tcPr>
            <w:tcW w:type="dxa" w:w="2160"/>
          </w:tcPr>
          <w:p>
            <w:r>
              <w:t>System shall display Overall Residual Risk Score (KPI)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Prominent display on executive dashboard</w:t>
            </w:r>
          </w:p>
        </w:tc>
      </w:tr>
      <w:tr>
        <w:tc>
          <w:tcPr>
            <w:tcW w:type="dxa" w:w="2160"/>
          </w:tcPr>
          <w:p>
            <w:r>
              <w:t>FR-DASH-008</w:t>
            </w:r>
          </w:p>
        </w:tc>
        <w:tc>
          <w:tcPr>
            <w:tcW w:type="dxa" w:w="2160"/>
          </w:tcPr>
          <w:p>
            <w:r>
              <w:t>System shall display Number of High/Critical Risks (KPI)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Count with drill-down capability</w:t>
            </w:r>
          </w:p>
        </w:tc>
      </w:tr>
      <w:tr>
        <w:tc>
          <w:tcPr>
            <w:tcW w:type="dxa" w:w="2160"/>
          </w:tcPr>
          <w:p>
            <w:r>
              <w:t>FR-DASH-009</w:t>
            </w:r>
          </w:p>
        </w:tc>
        <w:tc>
          <w:tcPr>
            <w:tcW w:type="dxa" w:w="2160"/>
          </w:tcPr>
          <w:p>
            <w:r>
              <w:t>System shall display Control Effectiveness Percentage (KPI)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Calculated from CQI and CPI</w:t>
            </w:r>
          </w:p>
        </w:tc>
      </w:tr>
      <w:tr>
        <w:tc>
          <w:tcPr>
            <w:tcW w:type="dxa" w:w="2160"/>
          </w:tcPr>
          <w:p>
            <w:r>
              <w:t>FR-DASH-010</w:t>
            </w:r>
          </w:p>
        </w:tc>
        <w:tc>
          <w:tcPr>
            <w:tcW w:type="dxa" w:w="2160"/>
          </w:tcPr>
          <w:p>
            <w:r>
              <w:t>System shall display Compliance Breach Trends (KPI)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Trend chart over time</w:t>
            </w:r>
          </w:p>
        </w:tc>
      </w:tr>
    </w:tbl>
    <w:p>
      <w:pPr>
        <w:pStyle w:val="Heading2"/>
        <w:spacing w:before="200" w:after="120"/>
      </w:pPr>
      <w:r>
        <w:t>4.6 Early Warning Indicators</w:t>
      </w:r>
    </w:p>
    <w:p>
      <w:pPr>
        <w:spacing w:after="120"/>
      </w:pPr>
      <w:r>
        <w:t>Overview: Proactive indicators to alert management of emerging risks.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 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FR-EWI-001</w:t>
            </w:r>
          </w:p>
        </w:tc>
        <w:tc>
          <w:tcPr>
            <w:tcW w:type="dxa" w:w="2160"/>
          </w:tcPr>
          <w:p>
            <w:r>
              <w:t>System shall highlight AUs with deteriorating risk trends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Comparison with previous period, flag &gt;10% increase</w:t>
            </w:r>
          </w:p>
        </w:tc>
      </w:tr>
      <w:tr>
        <w:tc>
          <w:tcPr>
            <w:tcW w:type="dxa" w:w="2160"/>
          </w:tcPr>
          <w:p>
            <w:r>
              <w:t>FR-EWI-002</w:t>
            </w:r>
          </w:p>
        </w:tc>
        <w:tc>
          <w:tcPr>
            <w:tcW w:type="dxa" w:w="2160"/>
          </w:tcPr>
          <w:p>
            <w:r>
              <w:t>System shall identify controls approaching failure threshold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Flag controls with declining performance</w:t>
            </w:r>
          </w:p>
        </w:tc>
      </w:tr>
      <w:tr>
        <w:tc>
          <w:tcPr>
            <w:tcW w:type="dxa" w:w="2160"/>
          </w:tcPr>
          <w:p>
            <w:r>
              <w:t>FR-EWI-003</w:t>
            </w:r>
          </w:p>
        </w:tc>
        <w:tc>
          <w:tcPr>
            <w:tcW w:type="dxa" w:w="2160"/>
          </w:tcPr>
          <w:p>
            <w:r>
              <w:t>System shall show AUs with increasing compliance breaches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Trend analysis on breach frequency</w:t>
            </w:r>
          </w:p>
        </w:tc>
      </w:tr>
      <w:tr>
        <w:tc>
          <w:tcPr>
            <w:tcW w:type="dxa" w:w="2160"/>
          </w:tcPr>
          <w:p>
            <w:r>
              <w:t>FR-EWI-004</w:t>
            </w:r>
          </w:p>
        </w:tc>
        <w:tc>
          <w:tcPr>
            <w:tcW w:type="dxa" w:w="2160"/>
          </w:tcPr>
          <w:p>
            <w:r>
              <w:t>System shall display visual indicators (traffic light colors) for risk levels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Red/Yellow/Green status indicators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t>5. Dashboard Specifications</w:t>
      </w:r>
    </w:p>
    <w:p>
      <w:pPr>
        <w:spacing w:after="120"/>
      </w:pPr>
      <w:r>
        <w:t>This section describes the visual design and functionality of all dashboard views in the CRAF prototype. The dashboards follow a professional banking theme with blues and grays, clean design, and intuitive navigation.</w:t>
      </w:r>
    </w:p>
    <w:p>
      <w:pPr>
        <w:pStyle w:val="Heading2"/>
        <w:spacing w:before="200" w:after="120"/>
      </w:pPr>
      <w:r>
        <w:t>5.1 Executive Dashboard</w:t>
      </w:r>
    </w:p>
    <w:p>
      <w:pPr>
        <w:spacing w:after="120"/>
      </w:pPr>
      <w:r>
        <w:t>Purpose: Provide C-Suite executives with at-a-glance view of enterprise-wide risk posture.</w:t>
      </w:r>
    </w:p>
    <w:p>
      <w:pPr>
        <w:spacing w:after="120"/>
      </w:pPr>
    </w:p>
    <w:p>
      <w:pPr>
        <w:spacing w:after="120"/>
      </w:pPr>
      <w:r>
        <w:t>Layout &amp; Components:</w:t>
      </w:r>
    </w:p>
    <w:p>
      <w:pPr>
        <w:pStyle w:val="ListBullet"/>
      </w:pPr>
      <w:r>
        <w:t>Top Section: Key Performance Indicators (KPIs)</w:t>
      </w:r>
    </w:p>
    <w:p>
      <w:pPr>
        <w:pStyle w:val="ListBullet"/>
        <w:ind w:left="720"/>
      </w:pPr>
      <w:r>
        <w:t>Overall Residual Risk Score - Large metric card, color-coded by risk level</w:t>
      </w:r>
    </w:p>
    <w:p>
      <w:pPr>
        <w:pStyle w:val="ListBullet"/>
        <w:ind w:left="720"/>
      </w:pPr>
      <w:r>
        <w:t>Number of High/Critical Risks - Prominent count with red indicator if &gt;0</w:t>
      </w:r>
    </w:p>
    <w:p>
      <w:pPr>
        <w:pStyle w:val="ListBullet"/>
        <w:ind w:left="720"/>
      </w:pPr>
      <w:r>
        <w:t>Control Effectiveness % - Gauge chart showing overall CER performance</w:t>
      </w:r>
    </w:p>
    <w:p>
      <w:pPr>
        <w:pStyle w:val="ListBullet"/>
        <w:ind w:left="720"/>
      </w:pPr>
      <w:r>
        <w:t>Compliance Breach Trend - Mini sparkline showing 12-month trend</w:t>
      </w:r>
    </w:p>
    <w:p>
      <w:pPr>
        <w:spacing w:after="120"/>
      </w:pPr>
    </w:p>
    <w:p>
      <w:pPr>
        <w:pStyle w:val="ListBullet"/>
      </w:pPr>
      <w:r>
        <w:t>Center Section: Enterprise Risk Heatmap</w:t>
      </w:r>
    </w:p>
    <w:p>
      <w:pPr>
        <w:pStyle w:val="ListBullet"/>
        <w:ind w:left="720"/>
      </w:pPr>
      <w:r>
        <w:t>Visual grid/matrix showing all 30+ Assessment Units</w:t>
      </w:r>
    </w:p>
    <w:p>
      <w:pPr>
        <w:pStyle w:val="ListBullet"/>
        <w:ind w:left="720"/>
      </w:pPr>
      <w:r>
        <w:t>Color coding: Red (Extremely High), Orange (Very High), Yellow (High), Light Green (Minor), Green (Insignificant)</w:t>
      </w:r>
    </w:p>
    <w:p>
      <w:pPr>
        <w:pStyle w:val="ListBullet"/>
        <w:ind w:left="720"/>
      </w:pPr>
      <w:r>
        <w:t>Hover shows AU name, residual risk score, and rating</w:t>
      </w:r>
    </w:p>
    <w:p>
      <w:pPr>
        <w:pStyle w:val="ListBullet"/>
        <w:ind w:left="720"/>
      </w:pPr>
      <w:r>
        <w:t>Click to drill down into AU details</w:t>
      </w:r>
    </w:p>
    <w:p>
      <w:pPr>
        <w:spacing w:after="120"/>
      </w:pPr>
    </w:p>
    <w:p>
      <w:pPr>
        <w:pStyle w:val="ListBullet"/>
      </w:pPr>
      <w:r>
        <w:t>Bottom Section: Risk Trends &amp; Distribution</w:t>
      </w:r>
    </w:p>
    <w:p>
      <w:pPr>
        <w:pStyle w:val="ListBullet"/>
        <w:ind w:left="720"/>
      </w:pPr>
      <w:r>
        <w:t>Line chart: Residual risk trend over last 2 years (quarterly data points)</w:t>
      </w:r>
    </w:p>
    <w:p>
      <w:pPr>
        <w:pStyle w:val="ListBullet"/>
        <w:ind w:left="720"/>
      </w:pPr>
      <w:r>
        <w:t>Bar chart: Risk distribution by Theme (Retail, Corporate, Treasury, Support)</w:t>
      </w:r>
    </w:p>
    <w:p>
      <w:pPr>
        <w:pStyle w:val="ListBullet"/>
        <w:ind w:left="720"/>
      </w:pPr>
      <w:r>
        <w:t>Donut chart: Controls by effectiveness category</w:t>
      </w:r>
    </w:p>
    <w:p>
      <w:pPr>
        <w:spacing w:after="120"/>
      </w:pPr>
    </w:p>
    <w:p>
      <w:pPr>
        <w:spacing w:after="120"/>
      </w:pPr>
      <w:r>
        <w:t>Navigation:</w:t>
      </w:r>
    </w:p>
    <w:p>
      <w:pPr>
        <w:pStyle w:val="ListBullet"/>
      </w:pPr>
      <w:r>
        <w:t>Header: CRAF logo, Assessment Period selector (dropdown), Refresh button</w:t>
      </w:r>
    </w:p>
    <w:p>
      <w:pPr>
        <w:pStyle w:val="ListBullet"/>
      </w:pPr>
      <w:r>
        <w:t>Sidebar: Quick links to different dashboard views</w:t>
      </w:r>
    </w:p>
    <w:p>
      <w:pPr>
        <w:pStyle w:val="ListBullet"/>
      </w:pPr>
      <w:r>
        <w:t>Footer: Last updated timestamp, data as of date</w:t>
      </w:r>
    </w:p>
    <w:p>
      <w:pPr>
        <w:spacing w:after="120"/>
      </w:pPr>
    </w:p>
    <w:p>
      <w:pPr>
        <w:spacing w:after="120"/>
      </w:pPr>
      <w:r>
        <w:t>Interactivity:</w:t>
      </w:r>
    </w:p>
    <w:p>
      <w:pPr>
        <w:pStyle w:val="ListBullet"/>
      </w:pPr>
      <w:r>
        <w:t>All charts and metrics are clickable for drill-down</w:t>
      </w:r>
    </w:p>
    <w:p>
      <w:pPr>
        <w:pStyle w:val="ListBullet"/>
      </w:pPr>
      <w:r>
        <w:t>Filters available: Business Area, Risk Rating, Theme</w:t>
      </w:r>
    </w:p>
    <w:p>
      <w:pPr>
        <w:pStyle w:val="ListBullet"/>
      </w:pPr>
      <w:r>
        <w:t>Real-time vs Periodic view toggle switch</w:t>
      </w:r>
    </w:p>
    <w:p>
      <w:pPr>
        <w:pStyle w:val="ListBullet"/>
      </w:pPr>
      <w:r>
        <w:t>Export button (placeholder - shown in future features)</w:t>
      </w:r>
    </w:p>
    <w:p>
      <w:pPr>
        <w:pStyle w:val="Heading2"/>
        <w:spacing w:before="200" w:after="120"/>
      </w:pPr>
      <w:r>
        <w:t>5.2 Risk Assessment Detail View</w:t>
      </w:r>
    </w:p>
    <w:p>
      <w:pPr>
        <w:spacing w:after="120"/>
      </w:pPr>
      <w:r>
        <w:t>Purpose: Show detailed risk assessment for a selected Assessment Unit.</w:t>
      </w:r>
    </w:p>
    <w:p>
      <w:pPr>
        <w:spacing w:after="120"/>
      </w:pPr>
    </w:p>
    <w:p>
      <w:pPr>
        <w:spacing w:after="120"/>
      </w:pPr>
      <w:r>
        <w:t>Layout:</w:t>
      </w:r>
    </w:p>
    <w:p>
      <w:pPr>
        <w:pStyle w:val="ListBullet"/>
      </w:pPr>
      <w:r>
        <w:t>Header: AU name, current risk rating badge, comparison period</w:t>
      </w:r>
    </w:p>
    <w:p>
      <w:pPr>
        <w:pStyle w:val="ListBullet"/>
      </w:pPr>
      <w:r>
        <w:t>Inherent Risk Section:</w:t>
      </w:r>
    </w:p>
    <w:p>
      <w:pPr>
        <w:pStyle w:val="ListBullet"/>
        <w:ind w:left="720"/>
      </w:pPr>
      <w:r>
        <w:t>Likelihood score breakdown with parameter contributions</w:t>
      </w:r>
    </w:p>
    <w:p>
      <w:pPr>
        <w:pStyle w:val="ListBullet"/>
        <w:ind w:left="720"/>
      </w:pPr>
      <w:r>
        <w:t>Impact score breakdown with parameter contributions</w:t>
      </w:r>
    </w:p>
    <w:p>
      <w:pPr>
        <w:pStyle w:val="ListBullet"/>
        <w:ind w:left="720"/>
      </w:pPr>
      <w:r>
        <w:t>Calculated inherent risk score and rating</w:t>
      </w:r>
    </w:p>
    <w:p>
      <w:pPr>
        <w:pStyle w:val="ListBullet"/>
      </w:pPr>
      <w:r>
        <w:t>Control Environment Section:</w:t>
      </w:r>
    </w:p>
    <w:p>
      <w:pPr>
        <w:pStyle w:val="ListBullet"/>
        <w:ind w:left="720"/>
      </w:pPr>
      <w:r>
        <w:t>Control Quality Index (CQI) with category distribution</w:t>
      </w:r>
    </w:p>
    <w:p>
      <w:pPr>
        <w:pStyle w:val="ListBullet"/>
        <w:ind w:left="720"/>
      </w:pPr>
      <w:r>
        <w:t>Control Performance Index (CPI) with testing results</w:t>
      </w:r>
    </w:p>
    <w:p>
      <w:pPr>
        <w:pStyle w:val="ListBullet"/>
        <w:ind w:left="720"/>
      </w:pPr>
      <w:r>
        <w:t>Control Environment Rating calculation</w:t>
      </w:r>
    </w:p>
    <w:p>
      <w:pPr>
        <w:pStyle w:val="ListBullet"/>
      </w:pPr>
      <w:r>
        <w:t>Residual Risk Section:</w:t>
      </w:r>
    </w:p>
    <w:p>
      <w:pPr>
        <w:pStyle w:val="ListBullet"/>
        <w:ind w:left="720"/>
      </w:pPr>
      <w:r>
        <w:t>Final residual risk calculation formula display</w:t>
      </w:r>
    </w:p>
    <w:p>
      <w:pPr>
        <w:pStyle w:val="ListBullet"/>
        <w:ind w:left="720"/>
      </w:pPr>
      <w:r>
        <w:t>Residual risk score and rating</w:t>
      </w:r>
    </w:p>
    <w:p>
      <w:pPr>
        <w:pStyle w:val="ListBullet"/>
        <w:ind w:left="720"/>
      </w:pPr>
      <w:r>
        <w:t>Comparison with previous period (if available)</w:t>
      </w:r>
    </w:p>
    <w:p>
      <w:pPr>
        <w:pStyle w:val="ListBullet"/>
      </w:pPr>
      <w:r>
        <w:t>Obligations &amp; Controls Table:</w:t>
      </w:r>
    </w:p>
    <w:p>
      <w:pPr>
        <w:pStyle w:val="ListBullet"/>
        <w:ind w:left="720"/>
      </w:pPr>
      <w:r>
        <w:t>List of obligations mapped to AU</w:t>
      </w:r>
    </w:p>
    <w:p>
      <w:pPr>
        <w:pStyle w:val="ListBullet"/>
        <w:ind w:left="720"/>
      </w:pPr>
      <w:r>
        <w:t>Associated controls with quality and performance scores</w:t>
      </w:r>
    </w:p>
    <w:p>
      <w:pPr>
        <w:pStyle w:val="ListBullet"/>
        <w:ind w:left="720"/>
      </w:pPr>
      <w:r>
        <w:t>Sortable and filterable</w:t>
      </w:r>
    </w:p>
    <w:p>
      <w:pPr>
        <w:pStyle w:val="Heading2"/>
        <w:spacing w:before="200" w:after="120"/>
      </w:pPr>
      <w:r>
        <w:t>5.3 Drill-Down Navigation Flow</w:t>
      </w:r>
    </w:p>
    <w:p>
      <w:pPr>
        <w:spacing w:after="120"/>
      </w:pPr>
      <w:r>
        <w:t>Four-level drill-down hierarchy:</w:t>
      </w:r>
    </w:p>
    <w:p>
      <w:pPr>
        <w:pStyle w:val="ListNumber"/>
      </w:pPr>
      <w:r>
        <w:t>Enterprise Level: Executive Dashboard showing all AUs</w:t>
      </w:r>
    </w:p>
    <w:p>
      <w:pPr>
        <w:pStyle w:val="ListNumber"/>
      </w:pPr>
      <w:r>
        <w:t>Theme Level: Filter to specific business theme (e.g., Retail Banking, Treasury)</w:t>
      </w:r>
    </w:p>
    <w:p>
      <w:pPr>
        <w:pStyle w:val="ListNumber"/>
      </w:pPr>
      <w:r>
        <w:t>Assessment Unit Level: Detail view for selected AU (as described in 5.2)</w:t>
      </w:r>
    </w:p>
    <w:p>
      <w:pPr>
        <w:pStyle w:val="ListNumber"/>
      </w:pPr>
      <w:r>
        <w:t>Obligation Level: Drill further into specific compliance obligation with associated controls</w:t>
      </w:r>
    </w:p>
    <w:p>
      <w:pPr>
        <w:spacing w:after="120"/>
      </w:pPr>
    </w:p>
    <w:p>
      <w:pPr>
        <w:spacing w:after="120"/>
      </w:pPr>
      <w:r>
        <w:t>Each level maintains context breadcrumb navigation for easy return to previous views.</w:t>
      </w:r>
    </w:p>
    <w:p>
      <w:pPr>
        <w:pStyle w:val="Heading2"/>
        <w:spacing w:before="200" w:after="120"/>
      </w:pPr>
      <w:r>
        <w:t>5.4 Comparison Views</w:t>
      </w:r>
    </w:p>
    <w:p>
      <w:pPr>
        <w:spacing w:after="120"/>
      </w:pPr>
      <w:r>
        <w:t>Year-over-Year Comparison:</w:t>
      </w:r>
    </w:p>
    <w:p>
      <w:pPr>
        <w:pStyle w:val="ListBullet"/>
      </w:pPr>
      <w:r>
        <w:t>Side-by-side view of current year vs previous year</w:t>
      </w:r>
    </w:p>
    <w:p>
      <w:pPr>
        <w:pStyle w:val="ListBullet"/>
      </w:pPr>
      <w:r>
        <w:t>Highlight changes in red (deterioration) or green (improvement)</w:t>
      </w:r>
    </w:p>
    <w:p>
      <w:pPr>
        <w:pStyle w:val="ListBullet"/>
      </w:pPr>
      <w:r>
        <w:t>Show delta percentages for key metrics</w:t>
      </w:r>
    </w:p>
    <w:p>
      <w:pPr>
        <w:pStyle w:val="ListBullet"/>
      </w:pPr>
      <w:r>
        <w:t>Available at Enterprise, Theme, and AU levels</w:t>
      </w:r>
    </w:p>
    <w:p>
      <w:pPr>
        <w:spacing w:after="120"/>
      </w:pPr>
    </w:p>
    <w:p>
      <w:pPr>
        <w:spacing w:after="120"/>
      </w:pPr>
      <w:r>
        <w:t>Before/After Control Implementation:</w:t>
      </w:r>
    </w:p>
    <w:p>
      <w:pPr>
        <w:pStyle w:val="ListBullet"/>
      </w:pPr>
      <w:r>
        <w:t>Split-screen showing risk metrics before and after control implementation</w:t>
      </w:r>
    </w:p>
    <w:p>
      <w:pPr>
        <w:pStyle w:val="ListBullet"/>
      </w:pPr>
      <w:r>
        <w:t>Used in Audit Finding Remediation scenario</w:t>
      </w:r>
    </w:p>
    <w:p>
      <w:pPr>
        <w:pStyle w:val="ListBullet"/>
      </w:pPr>
      <w:r>
        <w:t>Shows impact of control improvements on residual risk</w:t>
      </w:r>
    </w:p>
    <w:p>
      <w:pPr>
        <w:pStyle w:val="ListBullet"/>
      </w:pPr>
      <w:r>
        <w:t>Includes timeline of remediation activities</w:t>
      </w:r>
    </w:p>
    <w:p>
      <w:pPr>
        <w:pStyle w:val="Heading2"/>
        <w:spacing w:before="200" w:after="120"/>
      </w:pPr>
      <w:r>
        <w:t>5.5 Regulatory Compliance Status Dashboard</w:t>
      </w:r>
    </w:p>
    <w:p>
      <w:pPr>
        <w:spacing w:after="120"/>
      </w:pPr>
      <w:r>
        <w:t>Purpose: Track compliance with RBI regulations and returns.</w:t>
      </w:r>
    </w:p>
    <w:p>
      <w:pPr>
        <w:spacing w:after="120"/>
      </w:pPr>
    </w:p>
    <w:p>
      <w:pPr>
        <w:spacing w:after="120"/>
      </w:pPr>
      <w:r>
        <w:t>Components:</w:t>
      </w:r>
    </w:p>
    <w:p>
      <w:pPr>
        <w:pStyle w:val="ListBullet"/>
      </w:pPr>
      <w:r>
        <w:t>RBI Compliance Score: Overall percentage of obligations in compliance</w:t>
      </w:r>
    </w:p>
    <w:p>
      <w:pPr>
        <w:pStyle w:val="ListBullet"/>
      </w:pPr>
      <w:r>
        <w:t>Regulatory Returns Status: Table showing all returns (DSB, ALM, IRAC, etc.) with submission status</w:t>
      </w:r>
    </w:p>
    <w:p>
      <w:pPr>
        <w:pStyle w:val="ListBullet"/>
      </w:pPr>
      <w:r>
        <w:t>Recent Breaches: List of compliance breaches in last 90 days with severity</w:t>
      </w:r>
    </w:p>
    <w:p>
      <w:pPr>
        <w:pStyle w:val="ListBullet"/>
      </w:pPr>
      <w:r>
        <w:t>Upcoming Deadlines: Calendar view of regulatory submission deadlines</w:t>
      </w:r>
    </w:p>
    <w:p>
      <w:pPr>
        <w:pStyle w:val="ListBullet"/>
      </w:pPr>
      <w:r>
        <w:t>Trend Chart: Compliance score over last 12 months</w:t>
      </w:r>
    </w:p>
    <w:p>
      <w:r>
        <w:br w:type="page"/>
      </w:r>
    </w:p>
    <w:p>
      <w:pPr>
        <w:pStyle w:val="Heading1"/>
        <w:spacing w:before="280" w:after="120"/>
      </w:pPr>
      <w:r>
        <w:t>6. Data Model &amp; Entities</w:t>
      </w:r>
    </w:p>
    <w:p>
      <w:pPr>
        <w:spacing w:after="120"/>
      </w:pPr>
      <w:r>
        <w:t>This section defines the core data entities and their relationships in the CRAF system.</w:t>
      </w:r>
    </w:p>
    <w:p>
      <w:pPr>
        <w:pStyle w:val="Heading2"/>
        <w:spacing w:before="200" w:after="120"/>
      </w:pPr>
      <w:r>
        <w:t>6.1 Core Entities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Entity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Key Attributes</w:t>
            </w:r>
          </w:p>
        </w:tc>
      </w:tr>
      <w:tr>
        <w:tc>
          <w:tcPr>
            <w:tcW w:type="dxa" w:w="2880"/>
          </w:tcPr>
          <w:p>
            <w:r>
              <w:t>Assessment Unit (AU)</w:t>
            </w:r>
          </w:p>
        </w:tc>
        <w:tc>
          <w:tcPr>
            <w:tcW w:type="dxa" w:w="2880"/>
          </w:tcPr>
          <w:p>
            <w:r>
              <w:t>Business unit being assessed</w:t>
            </w:r>
          </w:p>
        </w:tc>
        <w:tc>
          <w:tcPr>
            <w:tcW w:type="dxa" w:w="2880"/>
          </w:tcPr>
          <w:p>
            <w:r>
              <w:t>AU_ID, AU_Name, Theme, Business_Area, Owner</w:t>
            </w:r>
          </w:p>
        </w:tc>
      </w:tr>
      <w:tr>
        <w:tc>
          <w:tcPr>
            <w:tcW w:type="dxa" w:w="2880"/>
          </w:tcPr>
          <w:p>
            <w:r>
              <w:t>Theme</w:t>
            </w:r>
          </w:p>
        </w:tc>
        <w:tc>
          <w:tcPr>
            <w:tcW w:type="dxa" w:w="2880"/>
          </w:tcPr>
          <w:p>
            <w:r>
              <w:t>Grouping of related AUs</w:t>
            </w:r>
          </w:p>
        </w:tc>
        <w:tc>
          <w:tcPr>
            <w:tcW w:type="dxa" w:w="2880"/>
          </w:tcPr>
          <w:p>
            <w:r>
              <w:t>Theme_ID, Theme_Name, Description</w:t>
            </w:r>
          </w:p>
        </w:tc>
      </w:tr>
      <w:tr>
        <w:tc>
          <w:tcPr>
            <w:tcW w:type="dxa" w:w="2880"/>
          </w:tcPr>
          <w:p>
            <w:r>
              <w:t>Compliance Obligation</w:t>
            </w:r>
          </w:p>
        </w:tc>
        <w:tc>
          <w:tcPr>
            <w:tcW w:type="dxa" w:w="2880"/>
          </w:tcPr>
          <w:p>
            <w:r>
              <w:t>Regulatory requirement</w:t>
            </w:r>
          </w:p>
        </w:tc>
        <w:tc>
          <w:tcPr>
            <w:tcW w:type="dxa" w:w="2880"/>
          </w:tcPr>
          <w:p>
            <w:r>
              <w:t>Obligation_ID, Regulation_Source, Description, AU_ID</w:t>
            </w:r>
          </w:p>
        </w:tc>
      </w:tr>
      <w:tr>
        <w:tc>
          <w:tcPr>
            <w:tcW w:type="dxa" w:w="2880"/>
          </w:tcPr>
          <w:p>
            <w:r>
              <w:t>Control</w:t>
            </w:r>
          </w:p>
        </w:tc>
        <w:tc>
          <w:tcPr>
            <w:tcW w:type="dxa" w:w="2880"/>
          </w:tcPr>
          <w:p>
            <w:r>
              <w:t>Control activity mitigating risk</w:t>
            </w:r>
          </w:p>
        </w:tc>
        <w:tc>
          <w:tcPr>
            <w:tcW w:type="dxa" w:w="2880"/>
          </w:tcPr>
          <w:p>
            <w:r>
              <w:t>Control_ID, Control_Name, Obligation_ID, Control_Type, Frequency</w:t>
            </w:r>
          </w:p>
        </w:tc>
      </w:tr>
      <w:tr>
        <w:tc>
          <w:tcPr>
            <w:tcW w:type="dxa" w:w="2880"/>
          </w:tcPr>
          <w:p>
            <w:r>
              <w:t>Inherent Risk</w:t>
            </w:r>
          </w:p>
        </w:tc>
        <w:tc>
          <w:tcPr>
            <w:tcW w:type="dxa" w:w="2880"/>
          </w:tcPr>
          <w:p>
            <w:r>
              <w:t>Risk before controls</w:t>
            </w:r>
          </w:p>
        </w:tc>
        <w:tc>
          <w:tcPr>
            <w:tcW w:type="dxa" w:w="2880"/>
          </w:tcPr>
          <w:p>
            <w:r>
              <w:t>IR_ID, AU_ID, Likelihood_Score, Impact_Score, IR_Rating, Assessment_Date</w:t>
            </w:r>
          </w:p>
        </w:tc>
      </w:tr>
      <w:tr>
        <w:tc>
          <w:tcPr>
            <w:tcW w:type="dxa" w:w="2880"/>
          </w:tcPr>
          <w:p>
            <w:r>
              <w:t>Control Quality</w:t>
            </w:r>
          </w:p>
        </w:tc>
        <w:tc>
          <w:tcPr>
            <w:tcW w:type="dxa" w:w="2880"/>
          </w:tcPr>
          <w:p>
            <w:r>
              <w:t>Design effectiveness</w:t>
            </w:r>
          </w:p>
        </w:tc>
        <w:tc>
          <w:tcPr>
            <w:tcW w:type="dxa" w:w="2880"/>
          </w:tcPr>
          <w:p>
            <w:r>
              <w:t>CQ_ID, Control_ID, Design_Parameters, CQA_Score, CQI</w:t>
            </w:r>
          </w:p>
        </w:tc>
      </w:tr>
      <w:tr>
        <w:tc>
          <w:tcPr>
            <w:tcW w:type="dxa" w:w="2880"/>
          </w:tcPr>
          <w:p>
            <w:r>
              <w:t>Control Performance</w:t>
            </w:r>
          </w:p>
        </w:tc>
        <w:tc>
          <w:tcPr>
            <w:tcW w:type="dxa" w:w="2880"/>
          </w:tcPr>
          <w:p>
            <w:r>
              <w:t>Operating effectiveness</w:t>
            </w:r>
          </w:p>
        </w:tc>
        <w:tc>
          <w:tcPr>
            <w:tcW w:type="dxa" w:w="2880"/>
          </w:tcPr>
          <w:p>
            <w:r>
              <w:t>CP_ID, Control_ID, KCI_Result, Testing_Result, CPA_Score, CPI</w:t>
            </w:r>
          </w:p>
        </w:tc>
      </w:tr>
      <w:tr>
        <w:tc>
          <w:tcPr>
            <w:tcW w:type="dxa" w:w="2880"/>
          </w:tcPr>
          <w:p>
            <w:r>
              <w:t>Residual Risk</w:t>
            </w:r>
          </w:p>
        </w:tc>
        <w:tc>
          <w:tcPr>
            <w:tcW w:type="dxa" w:w="2880"/>
          </w:tcPr>
          <w:p>
            <w:r>
              <w:t>Risk after controls</w:t>
            </w:r>
          </w:p>
        </w:tc>
        <w:tc>
          <w:tcPr>
            <w:tcW w:type="dxa" w:w="2880"/>
          </w:tcPr>
          <w:p>
            <w:r>
              <w:t>RR_ID, AU_ID, Inherent_Risk_Score, CER_Score, Residual_Risk_Score, RR_Rating</w:t>
            </w:r>
          </w:p>
        </w:tc>
      </w:tr>
      <w:tr>
        <w:tc>
          <w:tcPr>
            <w:tcW w:type="dxa" w:w="2880"/>
          </w:tcPr>
          <w:p>
            <w:r>
              <w:t>Assessment Period</w:t>
            </w:r>
          </w:p>
        </w:tc>
        <w:tc>
          <w:tcPr>
            <w:tcW w:type="dxa" w:w="2880"/>
          </w:tcPr>
          <w:p>
            <w:r>
              <w:t>Time period for assessment</w:t>
            </w:r>
          </w:p>
        </w:tc>
        <w:tc>
          <w:tcPr>
            <w:tcW w:type="dxa" w:w="2880"/>
          </w:tcPr>
          <w:p>
            <w:r>
              <w:t>Period_ID, Period_Name, Start_Date, End_Date, Is_Current</w:t>
            </w:r>
          </w:p>
        </w:tc>
      </w:tr>
    </w:tbl>
    <w:p>
      <w:pPr>
        <w:pStyle w:val="Heading2"/>
        <w:spacing w:before="200" w:after="120"/>
      </w:pPr>
      <w:r>
        <w:t>6.2 Assessment Unit Structure - 30+ AUs</w:t>
      </w:r>
    </w:p>
    <w:p>
      <w:pPr>
        <w:spacing w:after="120"/>
      </w:pPr>
      <w:r>
        <w:t>The demo includes 30+ Assessment Units across four business areas:</w:t>
      </w:r>
    </w:p>
    <w:p>
      <w:pPr>
        <w:spacing w:after="120"/>
      </w:pPr>
    </w:p>
    <w:p>
      <w:pPr>
        <w:spacing w:after="120"/>
      </w:pPr>
      <w:r>
        <w:t>Retail Banking (8 AUs):</w:t>
      </w:r>
    </w:p>
    <w:p>
      <w:pPr>
        <w:pStyle w:val="ListNumber"/>
      </w:pPr>
      <w:r>
        <w:t>Retail Assets Group - Consumer lending, personal loans</w:t>
      </w:r>
    </w:p>
    <w:p>
      <w:pPr>
        <w:pStyle w:val="ListNumber"/>
      </w:pPr>
      <w:r>
        <w:t>Retail Liabilities Group - Savings, current accounts, deposits</w:t>
      </w:r>
    </w:p>
    <w:p>
      <w:pPr>
        <w:pStyle w:val="ListNumber"/>
      </w:pPr>
      <w:r>
        <w:t>Branch Banking Network - Branch operations and services</w:t>
      </w:r>
    </w:p>
    <w:p>
      <w:pPr>
        <w:pStyle w:val="ListNumber"/>
      </w:pPr>
      <w:r>
        <w:t>Cards &amp; Payment Systems - Credit cards, debit cards, payment processing</w:t>
      </w:r>
    </w:p>
    <w:p>
      <w:pPr>
        <w:pStyle w:val="ListNumber"/>
      </w:pPr>
      <w:r>
        <w:t>Digital Banking - Internet banking, mobile banking</w:t>
      </w:r>
    </w:p>
    <w:p>
      <w:pPr>
        <w:pStyle w:val="ListNumber"/>
      </w:pPr>
      <w:r>
        <w:t>Priority Banking - High net-worth individual services</w:t>
      </w:r>
    </w:p>
    <w:p>
      <w:pPr>
        <w:pStyle w:val="ListNumber"/>
      </w:pPr>
      <w:r>
        <w:t>Rural Banking - Rural and agricultural banking</w:t>
      </w:r>
    </w:p>
    <w:p>
      <w:pPr>
        <w:pStyle w:val="ListNumber"/>
      </w:pPr>
      <w:r>
        <w:t>Wealth Management - Investment advisory, portfolio management</w:t>
      </w:r>
    </w:p>
    <w:p>
      <w:pPr>
        <w:spacing w:after="120"/>
      </w:pPr>
    </w:p>
    <w:p>
      <w:pPr>
        <w:spacing w:after="120"/>
      </w:pPr>
      <w:r>
        <w:t>Corporate/Wholesale Banking (8 AUs):</w:t>
      </w:r>
    </w:p>
    <w:p>
      <w:pPr>
        <w:pStyle w:val="ListNumber"/>
      </w:pPr>
      <w:r>
        <w:t>Wholesale Banking Group - Large corporate relationships</w:t>
      </w:r>
    </w:p>
    <w:p>
      <w:pPr>
        <w:pStyle w:val="ListNumber"/>
      </w:pPr>
      <w:r>
        <w:t>SME Banking - Small and medium enterprise lending</w:t>
      </w:r>
    </w:p>
    <w:p>
      <w:pPr>
        <w:pStyle w:val="ListNumber"/>
      </w:pPr>
      <w:r>
        <w:t>Trade Finance - Import/export financing, letters of credit</w:t>
      </w:r>
    </w:p>
    <w:p>
      <w:pPr>
        <w:pStyle w:val="ListNumber"/>
      </w:pPr>
      <w:r>
        <w:t>Cash Management Services - Corporate treasury services</w:t>
      </w:r>
    </w:p>
    <w:p>
      <w:pPr>
        <w:pStyle w:val="ListNumber"/>
      </w:pPr>
      <w:r>
        <w:t>Loan Syndication - Syndicated lending arrangements</w:t>
      </w:r>
    </w:p>
    <w:p>
      <w:pPr>
        <w:pStyle w:val="ListNumber"/>
      </w:pPr>
      <w:r>
        <w:t>Project Finance - Infrastructure and project lending</w:t>
      </w:r>
    </w:p>
    <w:p>
      <w:pPr>
        <w:pStyle w:val="ListNumber"/>
      </w:pPr>
      <w:r>
        <w:t>Financial Institutions Group - Banking relationships with other banks</w:t>
      </w:r>
    </w:p>
    <w:p>
      <w:pPr>
        <w:pStyle w:val="ListNumber"/>
      </w:pPr>
      <w:r>
        <w:t>Corporate Advisory - M&amp;A advisory, restructuring</w:t>
      </w:r>
    </w:p>
    <w:p>
      <w:pPr>
        <w:spacing w:after="120"/>
      </w:pPr>
    </w:p>
    <w:p>
      <w:pPr>
        <w:spacing w:after="120"/>
      </w:pPr>
      <w:r>
        <w:t>Treasury &amp; Markets (8 AUs):</w:t>
      </w:r>
    </w:p>
    <w:p>
      <w:pPr>
        <w:pStyle w:val="ListNumber"/>
      </w:pPr>
      <w:r>
        <w:t>Treasury Control Group - Treasury operations and accounting</w:t>
      </w:r>
    </w:p>
    <w:p>
      <w:pPr>
        <w:pStyle w:val="ListNumber"/>
      </w:pPr>
      <w:r>
        <w:t>Asset Liability Management (ALM) - Balance sheet management</w:t>
      </w:r>
    </w:p>
    <w:p>
      <w:pPr>
        <w:pStyle w:val="ListNumber"/>
      </w:pPr>
      <w:r>
        <w:t>Markets Group - Fixed income, forex, derivatives trading</w:t>
      </w:r>
    </w:p>
    <w:p>
      <w:pPr>
        <w:pStyle w:val="ListNumber"/>
      </w:pPr>
      <w:r>
        <w:t>Proprietary Trading Group - Proprietary investment positions</w:t>
      </w:r>
    </w:p>
    <w:p>
      <w:pPr>
        <w:pStyle w:val="ListNumber"/>
      </w:pPr>
      <w:r>
        <w:t>Custody Business - Securities custody services</w:t>
      </w:r>
    </w:p>
    <w:p>
      <w:pPr>
        <w:pStyle w:val="ListNumber"/>
      </w:pPr>
      <w:r>
        <w:t>Investment Portfolio Management - Bank's investment portfolio</w:t>
      </w:r>
    </w:p>
    <w:p>
      <w:pPr>
        <w:pStyle w:val="ListNumber"/>
      </w:pPr>
      <w:r>
        <w:t>Market Risk Management - Trading risk monitoring</w:t>
      </w:r>
    </w:p>
    <w:p>
      <w:pPr>
        <w:pStyle w:val="ListNumber"/>
      </w:pPr>
      <w:r>
        <w:t>Regulatory Reporting (Treasury) - Treasury-related returns</w:t>
      </w:r>
    </w:p>
    <w:p>
      <w:pPr>
        <w:spacing w:after="120"/>
      </w:pPr>
    </w:p>
    <w:p>
      <w:pPr>
        <w:spacing w:after="120"/>
      </w:pPr>
      <w:r>
        <w:t>Support Functions (6+ AUs):</w:t>
      </w:r>
    </w:p>
    <w:p>
      <w:pPr>
        <w:pStyle w:val="ListNumber"/>
      </w:pPr>
      <w:r>
        <w:t>Business Technology Group - IT systems and applications</w:t>
      </w:r>
    </w:p>
    <w:p>
      <w:pPr>
        <w:pStyle w:val="ListNumber"/>
      </w:pPr>
      <w:r>
        <w:t>Information Security Group - Cybersecurity, data protection</w:t>
      </w:r>
    </w:p>
    <w:p>
      <w:pPr>
        <w:pStyle w:val="ListNumber"/>
      </w:pPr>
      <w:r>
        <w:t>Human Resource Management - HR operations, payroll</w:t>
      </w:r>
    </w:p>
    <w:p>
      <w:pPr>
        <w:pStyle w:val="ListNumber"/>
      </w:pPr>
      <w:r>
        <w:t>Compliance Group - Regulatory compliance monitoring</w:t>
      </w:r>
    </w:p>
    <w:p>
      <w:pPr>
        <w:pStyle w:val="ListNumber"/>
      </w:pPr>
      <w:r>
        <w:t>Internal Audit Group - Internal audit function</w:t>
      </w:r>
    </w:p>
    <w:p>
      <w:pPr>
        <w:pStyle w:val="ListNumber"/>
      </w:pPr>
      <w:r>
        <w:t>Operational Risk Management - Operational risk monitoring</w:t>
      </w:r>
    </w:p>
    <w:p>
      <w:pPr>
        <w:pStyle w:val="ListNumber"/>
      </w:pPr>
      <w:r>
        <w:t>Legal &amp; Secretarial - Legal affairs, company secretary</w:t>
      </w:r>
    </w:p>
    <w:p>
      <w:pPr>
        <w:pStyle w:val="ListNumber"/>
      </w:pPr>
      <w:r>
        <w:t>Finance &amp; Accounts - Financial accounting and reporting</w:t>
      </w:r>
    </w:p>
    <w:p>
      <w:pPr>
        <w:pStyle w:val="Heading2"/>
        <w:spacing w:before="200" w:after="120"/>
      </w:pPr>
      <w:r>
        <w:t>6.3 Sample Data Specifications</w:t>
      </w:r>
    </w:p>
    <w:p>
      <w:pPr>
        <w:spacing w:after="120"/>
      </w:pPr>
      <w:r>
        <w:t>Data characteristics for realistic demonstration:</w:t>
      </w:r>
    </w:p>
    <w:p>
      <w:pPr>
        <w:pStyle w:val="ListBullet"/>
      </w:pPr>
      <w:r>
        <w:t>Assessment Units:</w:t>
      </w:r>
    </w:p>
    <w:p>
      <w:pPr>
        <w:pStyle w:val="ListBullet"/>
        <w:ind w:left="720"/>
      </w:pPr>
      <w:r>
        <w:t>30+ unique AUs with realistic names and structures</w:t>
      </w:r>
    </w:p>
    <w:p>
      <w:pPr>
        <w:pStyle w:val="ListBullet"/>
        <w:ind w:left="720"/>
      </w:pPr>
      <w:r>
        <w:t>Mapped to appropriate business areas and themes</w:t>
      </w:r>
    </w:p>
    <w:p>
      <w:pPr>
        <w:pStyle w:val="ListBullet"/>
        <w:ind w:left="720"/>
      </w:pPr>
      <w:r>
        <w:t>Each AU has designated owner/head</w:t>
      </w:r>
    </w:p>
    <w:p>
      <w:pPr>
        <w:pStyle w:val="ListBullet"/>
      </w:pPr>
      <w:r>
        <w:t>Compliance Obligations:</w:t>
      </w:r>
    </w:p>
    <w:p>
      <w:pPr>
        <w:pStyle w:val="ListBullet"/>
        <w:ind w:left="720"/>
      </w:pPr>
      <w:r>
        <w:t>100+ obligations mapped across all AUs</w:t>
      </w:r>
    </w:p>
    <w:p>
      <w:pPr>
        <w:pStyle w:val="ListBullet"/>
        <w:ind w:left="720"/>
      </w:pPr>
      <w:r>
        <w:t>Emphasis on RBI regulations (Master Directions, circulars)</w:t>
      </w:r>
    </w:p>
    <w:p>
      <w:pPr>
        <w:pStyle w:val="ListBullet"/>
        <w:ind w:left="720"/>
      </w:pPr>
      <w:r>
        <w:t>Mix of high-frequency (daily/weekly) and periodic (monthly/quarterly) obligations</w:t>
      </w:r>
    </w:p>
    <w:p>
      <w:pPr>
        <w:pStyle w:val="ListBullet"/>
      </w:pPr>
      <w:r>
        <w:t>Controls:</w:t>
      </w:r>
    </w:p>
    <w:p>
      <w:pPr>
        <w:pStyle w:val="ListBullet"/>
        <w:ind w:left="720"/>
      </w:pPr>
      <w:r>
        <w:t>300+ controls across all obligations</w:t>
      </w:r>
    </w:p>
    <w:p>
      <w:pPr>
        <w:pStyle w:val="ListBullet"/>
        <w:ind w:left="720"/>
      </w:pPr>
      <w:r>
        <w:t>Varied control types: Preventive/Detective, Manual/Automated</w:t>
      </w:r>
    </w:p>
    <w:p>
      <w:pPr>
        <w:pStyle w:val="ListBullet"/>
        <w:ind w:left="720"/>
      </w:pPr>
      <w:r>
        <w:t>Realistic control descriptions and frequencies</w:t>
      </w:r>
    </w:p>
    <w:p>
      <w:pPr>
        <w:pStyle w:val="ListBullet"/>
      </w:pPr>
      <w:r>
        <w:t>Risk Scores:</w:t>
      </w:r>
    </w:p>
    <w:p>
      <w:pPr>
        <w:pStyle w:val="ListBullet"/>
        <w:ind w:left="720"/>
      </w:pPr>
      <w:r>
        <w:t>Inherent risk scores distributed across rating spectrum</w:t>
      </w:r>
    </w:p>
    <w:p>
      <w:pPr>
        <w:pStyle w:val="ListBullet"/>
        <w:ind w:left="720"/>
      </w:pPr>
      <w:r>
        <w:t>Some AUs intentionally high-risk to demonstrate remediation scenarios</w:t>
      </w:r>
    </w:p>
    <w:p>
      <w:pPr>
        <w:pStyle w:val="ListBullet"/>
        <w:ind w:left="720"/>
      </w:pPr>
      <w:r>
        <w:t>Year-over-year data for trend analysis</w:t>
      </w:r>
    </w:p>
    <w:p>
      <w:pPr>
        <w:pStyle w:val="ListBullet"/>
      </w:pPr>
      <w:r>
        <w:t>Control Effectiveness:</w:t>
      </w:r>
    </w:p>
    <w:p>
      <w:pPr>
        <w:pStyle w:val="ListBullet"/>
        <w:ind w:left="720"/>
      </w:pPr>
      <w:r>
        <w:t>Mix of effective, adequate, and deficient controls</w:t>
      </w:r>
    </w:p>
    <w:p>
      <w:pPr>
        <w:pStyle w:val="ListBullet"/>
        <w:ind w:left="720"/>
      </w:pPr>
      <w:r>
        <w:t>Some controls showing deterioration for early warning demo</w:t>
      </w:r>
    </w:p>
    <w:p>
      <w:pPr>
        <w:pStyle w:val="ListBullet"/>
        <w:ind w:left="720"/>
      </w:pPr>
      <w:r>
        <w:t>Realistic KCI monitoring and testing results</w:t>
      </w:r>
    </w:p>
    <w:p>
      <w:r>
        <w:br w:type="page"/>
      </w:r>
    </w:p>
    <w:p>
      <w:pPr>
        <w:pStyle w:val="Heading1"/>
        <w:spacing w:before="280" w:after="120"/>
      </w:pPr>
      <w:r>
        <w:t>7. Database Schema</w:t>
      </w:r>
    </w:p>
    <w:p>
      <w:pPr>
        <w:spacing w:after="120"/>
      </w:pPr>
      <w:r>
        <w:t>This section defines the database structure for the CRAF system.</w:t>
      </w:r>
    </w:p>
    <w:p>
      <w:pPr>
        <w:pStyle w:val="Heading2"/>
        <w:spacing w:before="200" w:after="120"/>
      </w:pPr>
      <w:r>
        <w:t>7.1 Table Definitions</w:t>
      </w:r>
    </w:p>
    <w:p>
      <w:pPr>
        <w:spacing w:after="120"/>
      </w:pPr>
      <w:r>
        <w:t>Assessment Units Table:</w:t>
      </w:r>
    </w:p>
    <w:p>
      <w:pPr>
        <w:ind w:left="720"/>
      </w:pPr>
      <w:r>
        <w:rPr>
          <w:rFonts w:ascii="Courier New" w:hAnsi="Courier New"/>
          <w:sz w:val="18"/>
        </w:rPr>
        <w:t>CREATE TABLE assessment_units (</w:t>
      </w:r>
    </w:p>
    <w:p>
      <w:pPr>
        <w:ind w:left="720"/>
      </w:pPr>
      <w:r>
        <w:rPr>
          <w:rFonts w:ascii="Courier New" w:hAnsi="Courier New"/>
          <w:sz w:val="18"/>
        </w:rPr>
        <w:t xml:space="preserve">  au_id INT PRIMARY KEY AUTO_INCREMENT,</w:t>
      </w:r>
    </w:p>
    <w:p>
      <w:pPr>
        <w:ind w:left="720"/>
      </w:pPr>
      <w:r>
        <w:rPr>
          <w:rFonts w:ascii="Courier New" w:hAnsi="Courier New"/>
          <w:sz w:val="18"/>
        </w:rPr>
        <w:t xml:space="preserve">  au_code VARCHAR(50) UNIQUE NOT NULL,</w:t>
      </w:r>
    </w:p>
    <w:p>
      <w:pPr>
        <w:ind w:left="720"/>
      </w:pPr>
      <w:r>
        <w:rPr>
          <w:rFonts w:ascii="Courier New" w:hAnsi="Courier New"/>
          <w:sz w:val="18"/>
        </w:rPr>
        <w:t xml:space="preserve">  au_name VARCHAR(200) NOT NULL,</w:t>
      </w:r>
    </w:p>
    <w:p>
      <w:pPr>
        <w:ind w:left="720"/>
      </w:pPr>
      <w:r>
        <w:rPr>
          <w:rFonts w:ascii="Courier New" w:hAnsi="Courier New"/>
          <w:sz w:val="18"/>
        </w:rPr>
        <w:t xml:space="preserve">  theme_id INT NOT NULL,</w:t>
      </w:r>
    </w:p>
    <w:p>
      <w:pPr>
        <w:ind w:left="720"/>
      </w:pPr>
      <w:r>
        <w:rPr>
          <w:rFonts w:ascii="Courier New" w:hAnsi="Courier New"/>
          <w:sz w:val="18"/>
        </w:rPr>
        <w:t xml:space="preserve">  business_area VARCHAR(100),</w:t>
      </w:r>
    </w:p>
    <w:p>
      <w:pPr>
        <w:ind w:left="720"/>
      </w:pPr>
      <w:r>
        <w:rPr>
          <w:rFonts w:ascii="Courier New" w:hAnsi="Courier New"/>
          <w:sz w:val="18"/>
        </w:rPr>
        <w:t xml:space="preserve">  owner_name VARCHAR(100),</w:t>
      </w:r>
    </w:p>
    <w:p>
      <w:pPr>
        <w:ind w:left="720"/>
      </w:pPr>
      <w:r>
        <w:rPr>
          <w:rFonts w:ascii="Courier New" w:hAnsi="Courier New"/>
          <w:sz w:val="18"/>
        </w:rPr>
        <w:t xml:space="preserve">  description TEXT,</w:t>
      </w:r>
    </w:p>
    <w:p>
      <w:pPr>
        <w:ind w:left="720"/>
      </w:pPr>
      <w:r>
        <w:rPr>
          <w:rFonts w:ascii="Courier New" w:hAnsi="Courier New"/>
          <w:sz w:val="18"/>
        </w:rPr>
        <w:t xml:space="preserve">  is_active BOOLEAN DEFAULT TRUE,</w:t>
      </w:r>
    </w:p>
    <w:p>
      <w:pPr>
        <w:ind w:left="720"/>
      </w:pPr>
      <w:r>
        <w:rPr>
          <w:rFonts w:ascii="Courier New" w:hAnsi="Courier New"/>
          <w:sz w:val="18"/>
        </w:rPr>
        <w:t xml:space="preserve">  created_date TIMESTAMP DEFAULT CURRENT_TIMESTAMP,</w:t>
      </w:r>
    </w:p>
    <w:p>
      <w:pPr>
        <w:ind w:left="720"/>
      </w:pPr>
      <w:r>
        <w:rPr>
          <w:rFonts w:ascii="Courier New" w:hAnsi="Courier New"/>
          <w:sz w:val="18"/>
        </w:rPr>
        <w:t xml:space="preserve">  FOREIGN KEY (theme_id) REFERENCES themes(theme_id)</w:t>
      </w:r>
    </w:p>
    <w:p>
      <w:pPr>
        <w:ind w:left="720"/>
      </w:pPr>
      <w:r>
        <w:rPr>
          <w:rFonts w:ascii="Courier New" w:hAnsi="Courier New"/>
          <w:sz w:val="18"/>
        </w:rPr>
        <w:t>);</w:t>
      </w:r>
    </w:p>
    <w:p>
      <w:pPr>
        <w:spacing w:after="120"/>
      </w:pPr>
    </w:p>
    <w:p>
      <w:pPr>
        <w:spacing w:after="120"/>
      </w:pPr>
      <w:r>
        <w:t>Themes Table:</w:t>
      </w:r>
    </w:p>
    <w:p>
      <w:pPr>
        <w:ind w:left="720"/>
      </w:pPr>
      <w:r>
        <w:rPr>
          <w:rFonts w:ascii="Courier New" w:hAnsi="Courier New"/>
          <w:sz w:val="18"/>
        </w:rPr>
        <w:t>CREATE TABLE themes (</w:t>
      </w:r>
    </w:p>
    <w:p>
      <w:pPr>
        <w:ind w:left="720"/>
      </w:pPr>
      <w:r>
        <w:rPr>
          <w:rFonts w:ascii="Courier New" w:hAnsi="Courier New"/>
          <w:sz w:val="18"/>
        </w:rPr>
        <w:t xml:space="preserve">  theme_id INT PRIMARY KEY AUTO_INCREMENT,</w:t>
      </w:r>
    </w:p>
    <w:p>
      <w:pPr>
        <w:ind w:left="720"/>
      </w:pPr>
      <w:r>
        <w:rPr>
          <w:rFonts w:ascii="Courier New" w:hAnsi="Courier New"/>
          <w:sz w:val="18"/>
        </w:rPr>
        <w:t xml:space="preserve">  theme_code VARCHAR(50) UNIQUE NOT NULL,</w:t>
      </w:r>
    </w:p>
    <w:p>
      <w:pPr>
        <w:ind w:left="720"/>
      </w:pPr>
      <w:r>
        <w:rPr>
          <w:rFonts w:ascii="Courier New" w:hAnsi="Courier New"/>
          <w:sz w:val="18"/>
        </w:rPr>
        <w:t xml:space="preserve">  theme_name VARCHAR(100) NOT NULL,</w:t>
      </w:r>
    </w:p>
    <w:p>
      <w:pPr>
        <w:ind w:left="720"/>
      </w:pPr>
      <w:r>
        <w:rPr>
          <w:rFonts w:ascii="Courier New" w:hAnsi="Courier New"/>
          <w:sz w:val="18"/>
        </w:rPr>
        <w:t xml:space="preserve">  description TEXT</w:t>
      </w:r>
    </w:p>
    <w:p>
      <w:pPr>
        <w:ind w:left="720"/>
      </w:pPr>
      <w:r>
        <w:rPr>
          <w:rFonts w:ascii="Courier New" w:hAnsi="Courier New"/>
          <w:sz w:val="18"/>
        </w:rPr>
        <w:t>);</w:t>
      </w:r>
    </w:p>
    <w:p>
      <w:pPr>
        <w:spacing w:after="120"/>
      </w:pPr>
    </w:p>
    <w:p>
      <w:pPr>
        <w:spacing w:after="120"/>
      </w:pPr>
      <w:r>
        <w:t>Compliance Obligations Table:</w:t>
      </w:r>
    </w:p>
    <w:p>
      <w:pPr>
        <w:ind w:left="720"/>
      </w:pPr>
      <w:r>
        <w:rPr>
          <w:rFonts w:ascii="Courier New" w:hAnsi="Courier New"/>
          <w:sz w:val="18"/>
        </w:rPr>
        <w:t>CREATE TABLE compliance_obligations (</w:t>
      </w:r>
    </w:p>
    <w:p>
      <w:pPr>
        <w:ind w:left="720"/>
      </w:pPr>
      <w:r>
        <w:rPr>
          <w:rFonts w:ascii="Courier New" w:hAnsi="Courier New"/>
          <w:sz w:val="18"/>
        </w:rPr>
        <w:t xml:space="preserve">  obligation_id INT PRIMARY KEY AUTO_INCREMENT,</w:t>
      </w:r>
    </w:p>
    <w:p>
      <w:pPr>
        <w:ind w:left="720"/>
      </w:pPr>
      <w:r>
        <w:rPr>
          <w:rFonts w:ascii="Courier New" w:hAnsi="Courier New"/>
          <w:sz w:val="18"/>
        </w:rPr>
        <w:t xml:space="preserve">  obligation_code VARCHAR(50) UNIQUE NOT NULL,</w:t>
      </w:r>
    </w:p>
    <w:p>
      <w:pPr>
        <w:ind w:left="720"/>
      </w:pPr>
      <w:r>
        <w:rPr>
          <w:rFonts w:ascii="Courier New" w:hAnsi="Courier New"/>
          <w:sz w:val="18"/>
        </w:rPr>
        <w:t xml:space="preserve">  regulation_source VARCHAR(200),  -- e.g., 'RBI Master Direction on...'</w:t>
      </w:r>
    </w:p>
    <w:p>
      <w:pPr>
        <w:ind w:left="720"/>
      </w:pPr>
      <w:r>
        <w:rPr>
          <w:rFonts w:ascii="Courier New" w:hAnsi="Courier New"/>
          <w:sz w:val="18"/>
        </w:rPr>
        <w:t xml:space="preserve">  regulation_ref VARCHAR(100),     -- e.g., 'RBI/2023-24/05'</w:t>
      </w:r>
    </w:p>
    <w:p>
      <w:pPr>
        <w:ind w:left="720"/>
      </w:pPr>
      <w:r>
        <w:rPr>
          <w:rFonts w:ascii="Courier New" w:hAnsi="Courier New"/>
          <w:sz w:val="18"/>
        </w:rPr>
        <w:t xml:space="preserve">  obligation_desc TEXT NOT NULL,</w:t>
      </w:r>
    </w:p>
    <w:p>
      <w:pPr>
        <w:ind w:left="720"/>
      </w:pPr>
      <w:r>
        <w:rPr>
          <w:rFonts w:ascii="Courier New" w:hAnsi="Courier New"/>
          <w:sz w:val="18"/>
        </w:rPr>
        <w:t xml:space="preserve">  frequency VARCHAR(50),            -- Daily, Weekly, Monthly, etc.</w:t>
      </w:r>
    </w:p>
    <w:p>
      <w:pPr>
        <w:ind w:left="720"/>
      </w:pPr>
      <w:r>
        <w:rPr>
          <w:rFonts w:ascii="Courier New" w:hAnsi="Courier New"/>
          <w:sz w:val="18"/>
        </w:rPr>
        <w:t xml:space="preserve">  au_id INT NOT NULL,</w:t>
      </w:r>
    </w:p>
    <w:p>
      <w:pPr>
        <w:ind w:left="720"/>
      </w:pPr>
      <w:r>
        <w:rPr>
          <w:rFonts w:ascii="Courier New" w:hAnsi="Courier New"/>
          <w:sz w:val="18"/>
        </w:rPr>
        <w:t xml:space="preserve">  criticality VARCHAR(50),          -- Critical, High, Medium, Low</w:t>
      </w:r>
    </w:p>
    <w:p>
      <w:pPr>
        <w:ind w:left="720"/>
      </w:pPr>
      <w:r>
        <w:rPr>
          <w:rFonts w:ascii="Courier New" w:hAnsi="Courier New"/>
          <w:sz w:val="18"/>
        </w:rPr>
        <w:t xml:space="preserve">  is_active BOOLEAN DEFAULT TRUE,</w:t>
      </w:r>
    </w:p>
    <w:p>
      <w:pPr>
        <w:ind w:left="720"/>
      </w:pPr>
      <w:r>
        <w:rPr>
          <w:rFonts w:ascii="Courier New" w:hAnsi="Courier New"/>
          <w:sz w:val="18"/>
        </w:rPr>
        <w:t xml:space="preserve">  FOREIGN KEY (au_id) REFERENCES assessment_units(au_id)</w:t>
      </w:r>
    </w:p>
    <w:p>
      <w:pPr>
        <w:ind w:left="720"/>
      </w:pPr>
      <w:r>
        <w:rPr>
          <w:rFonts w:ascii="Courier New" w:hAnsi="Courier New"/>
          <w:sz w:val="18"/>
        </w:rPr>
        <w:t>);</w:t>
      </w:r>
    </w:p>
    <w:p>
      <w:pPr>
        <w:spacing w:after="120"/>
      </w:pPr>
    </w:p>
    <w:p>
      <w:pPr>
        <w:spacing w:after="120"/>
      </w:pPr>
      <w:r>
        <w:t>Controls Table:</w:t>
      </w:r>
    </w:p>
    <w:p>
      <w:pPr>
        <w:ind w:left="720"/>
      </w:pPr>
      <w:r>
        <w:rPr>
          <w:rFonts w:ascii="Courier New" w:hAnsi="Courier New"/>
          <w:sz w:val="18"/>
        </w:rPr>
        <w:t>CREATE TABLE controls (</w:t>
      </w:r>
    </w:p>
    <w:p>
      <w:pPr>
        <w:ind w:left="720"/>
      </w:pPr>
      <w:r>
        <w:rPr>
          <w:rFonts w:ascii="Courier New" w:hAnsi="Courier New"/>
          <w:sz w:val="18"/>
        </w:rPr>
        <w:t xml:space="preserve">  control_id INT PRIMARY KEY AUTO_INCREMENT,</w:t>
      </w:r>
    </w:p>
    <w:p>
      <w:pPr>
        <w:ind w:left="720"/>
      </w:pPr>
      <w:r>
        <w:rPr>
          <w:rFonts w:ascii="Courier New" w:hAnsi="Courier New"/>
          <w:sz w:val="18"/>
        </w:rPr>
        <w:t xml:space="preserve">  control_code VARCHAR(50) UNIQUE NOT NULL,</w:t>
      </w:r>
    </w:p>
    <w:p>
      <w:pPr>
        <w:ind w:left="720"/>
      </w:pPr>
      <w:r>
        <w:rPr>
          <w:rFonts w:ascii="Courier New" w:hAnsi="Courier New"/>
          <w:sz w:val="18"/>
        </w:rPr>
        <w:t xml:space="preserve">  control_name VARCHAR(200) NOT NULL,</w:t>
      </w:r>
    </w:p>
    <w:p>
      <w:pPr>
        <w:ind w:left="720"/>
      </w:pPr>
      <w:r>
        <w:rPr>
          <w:rFonts w:ascii="Courier New" w:hAnsi="Courier New"/>
          <w:sz w:val="18"/>
        </w:rPr>
        <w:t xml:space="preserve">  control_desc TEXT,</w:t>
      </w:r>
    </w:p>
    <w:p>
      <w:pPr>
        <w:ind w:left="720"/>
      </w:pPr>
      <w:r>
        <w:rPr>
          <w:rFonts w:ascii="Courier New" w:hAnsi="Courier New"/>
          <w:sz w:val="18"/>
        </w:rPr>
        <w:t xml:space="preserve">  obligation_id INT NOT NULL,</w:t>
      </w:r>
    </w:p>
    <w:p>
      <w:pPr>
        <w:ind w:left="720"/>
      </w:pPr>
      <w:r>
        <w:rPr>
          <w:rFonts w:ascii="Courier New" w:hAnsi="Courier New"/>
          <w:sz w:val="18"/>
        </w:rPr>
        <w:t xml:space="preserve">  control_type VARCHAR(50),         -- Preventive, Detective</w:t>
      </w:r>
    </w:p>
    <w:p>
      <w:pPr>
        <w:ind w:left="720"/>
      </w:pPr>
      <w:r>
        <w:rPr>
          <w:rFonts w:ascii="Courier New" w:hAnsi="Courier New"/>
          <w:sz w:val="18"/>
        </w:rPr>
        <w:t xml:space="preserve">  control_nature VARCHAR(50),        -- Manual, IT-driven, IT-based manual</w:t>
      </w:r>
    </w:p>
    <w:p>
      <w:pPr>
        <w:ind w:left="720"/>
      </w:pPr>
      <w:r>
        <w:rPr>
          <w:rFonts w:ascii="Courier New" w:hAnsi="Courier New"/>
          <w:sz w:val="18"/>
        </w:rPr>
        <w:t xml:space="preserve">  control_frequency VARCHAR(50),</w:t>
      </w:r>
    </w:p>
    <w:p>
      <w:pPr>
        <w:ind w:left="720"/>
      </w:pPr>
      <w:r>
        <w:rPr>
          <w:rFonts w:ascii="Courier New" w:hAnsi="Courier New"/>
          <w:sz w:val="18"/>
        </w:rPr>
        <w:t xml:space="preserve">  monitoring_mechanism VARCHAR(100), -- Maker-checker, automated, etc.</w:t>
      </w:r>
    </w:p>
    <w:p>
      <w:pPr>
        <w:ind w:left="720"/>
      </w:pPr>
      <w:r>
        <w:rPr>
          <w:rFonts w:ascii="Courier New" w:hAnsi="Courier New"/>
          <w:sz w:val="18"/>
        </w:rPr>
        <w:t xml:space="preserve">  is_documented BOOLEAN,</w:t>
      </w:r>
    </w:p>
    <w:p>
      <w:pPr>
        <w:ind w:left="720"/>
      </w:pPr>
      <w:r>
        <w:rPr>
          <w:rFonts w:ascii="Courier New" w:hAnsi="Courier New"/>
          <w:sz w:val="18"/>
        </w:rPr>
        <w:t xml:space="preserve">  owner_role VARCHAR(100),</w:t>
      </w:r>
    </w:p>
    <w:p>
      <w:pPr>
        <w:ind w:left="720"/>
      </w:pPr>
      <w:r>
        <w:rPr>
          <w:rFonts w:ascii="Courier New" w:hAnsi="Courier New"/>
          <w:sz w:val="18"/>
        </w:rPr>
        <w:t xml:space="preserve">  is_active BOOLEAN DEFAULT TRUE,</w:t>
      </w:r>
    </w:p>
    <w:p>
      <w:pPr>
        <w:ind w:left="720"/>
      </w:pPr>
      <w:r>
        <w:rPr>
          <w:rFonts w:ascii="Courier New" w:hAnsi="Courier New"/>
          <w:sz w:val="18"/>
        </w:rPr>
        <w:t xml:space="preserve">  FOREIGN KEY (obligation_id) REFERENCES compliance_obligations(obligation_id)</w:t>
      </w:r>
    </w:p>
    <w:p>
      <w:pPr>
        <w:ind w:left="720"/>
      </w:pPr>
      <w:r>
        <w:rPr>
          <w:rFonts w:ascii="Courier New" w:hAnsi="Courier New"/>
          <w:sz w:val="18"/>
        </w:rPr>
        <w:t>);</w:t>
      </w:r>
    </w:p>
    <w:p>
      <w:pPr>
        <w:spacing w:after="120"/>
      </w:pPr>
    </w:p>
    <w:p>
      <w:pPr>
        <w:spacing w:after="120"/>
      </w:pPr>
      <w:r>
        <w:t>Inherent Risk Assessment Table:</w:t>
      </w:r>
    </w:p>
    <w:p>
      <w:pPr>
        <w:ind w:left="720"/>
      </w:pPr>
      <w:r>
        <w:rPr>
          <w:rFonts w:ascii="Courier New" w:hAnsi="Courier New"/>
          <w:sz w:val="18"/>
        </w:rPr>
        <w:t>CREATE TABLE inherent_risk (</w:t>
      </w:r>
    </w:p>
    <w:p>
      <w:pPr>
        <w:ind w:left="720"/>
      </w:pPr>
      <w:r>
        <w:rPr>
          <w:rFonts w:ascii="Courier New" w:hAnsi="Courier New"/>
          <w:sz w:val="18"/>
        </w:rPr>
        <w:t xml:space="preserve">  ir_id INT PRIMARY KEY AUTO_INCREMENT,</w:t>
      </w:r>
    </w:p>
    <w:p>
      <w:pPr>
        <w:ind w:left="720"/>
      </w:pPr>
      <w:r>
        <w:rPr>
          <w:rFonts w:ascii="Courier New" w:hAnsi="Courier New"/>
          <w:sz w:val="18"/>
        </w:rPr>
        <w:t xml:space="preserve">  au_id INT NOT NULL,</w:t>
      </w:r>
    </w:p>
    <w:p>
      <w:pPr>
        <w:ind w:left="720"/>
      </w:pPr>
      <w:r>
        <w:rPr>
          <w:rFonts w:ascii="Courier New" w:hAnsi="Courier New"/>
          <w:sz w:val="18"/>
        </w:rPr>
        <w:t xml:space="preserve">  assessment_period_id INT NOT NULL,</w:t>
      </w:r>
    </w:p>
    <w:p>
      <w:pPr>
        <w:ind w:left="720"/>
      </w:pPr>
      <w:r>
        <w:rPr>
          <w:rFonts w:ascii="Courier New" w:hAnsi="Courier New"/>
          <w:sz w:val="18"/>
        </w:rPr>
        <w:t xml:space="preserve">  -- Likelihood Parameters</w:t>
      </w:r>
    </w:p>
    <w:p>
      <w:pPr>
        <w:ind w:left="720"/>
      </w:pPr>
      <w:r>
        <w:rPr>
          <w:rFonts w:ascii="Courier New" w:hAnsi="Courier New"/>
          <w:sz w:val="18"/>
        </w:rPr>
        <w:t xml:space="preserve">  volume_growth_score INT,</w:t>
      </w:r>
    </w:p>
    <w:p>
      <w:pPr>
        <w:ind w:left="720"/>
      </w:pPr>
      <w:r>
        <w:rPr>
          <w:rFonts w:ascii="Courier New" w:hAnsi="Courier New"/>
          <w:sz w:val="18"/>
        </w:rPr>
        <w:t xml:space="preserve">  complexity_score INT,</w:t>
      </w:r>
    </w:p>
    <w:p>
      <w:pPr>
        <w:ind w:left="720"/>
      </w:pPr>
      <w:r>
        <w:rPr>
          <w:rFonts w:ascii="Courier New" w:hAnsi="Courier New"/>
          <w:sz w:val="18"/>
        </w:rPr>
        <w:t xml:space="preserve">  regulatory_returns_score INT,</w:t>
      </w:r>
    </w:p>
    <w:p>
      <w:pPr>
        <w:ind w:left="720"/>
      </w:pPr>
      <w:r>
        <w:rPr>
          <w:rFonts w:ascii="Courier New" w:hAnsi="Courier New"/>
          <w:sz w:val="18"/>
        </w:rPr>
        <w:t xml:space="preserve">  compliance_breaches_score INT,</w:t>
      </w:r>
    </w:p>
    <w:p>
      <w:pPr>
        <w:ind w:left="720"/>
      </w:pPr>
      <w:r>
        <w:rPr>
          <w:rFonts w:ascii="Courier New" w:hAnsi="Courier New"/>
          <w:sz w:val="18"/>
        </w:rPr>
        <w:t xml:space="preserve">  control_failures_score INT,</w:t>
      </w:r>
    </w:p>
    <w:p>
      <w:pPr>
        <w:ind w:left="720"/>
      </w:pPr>
      <w:r>
        <w:rPr>
          <w:rFonts w:ascii="Courier New" w:hAnsi="Courier New"/>
          <w:sz w:val="18"/>
        </w:rPr>
        <w:t xml:space="preserve">  customer_complaints_score INT,</w:t>
      </w:r>
    </w:p>
    <w:p>
      <w:pPr>
        <w:ind w:left="720"/>
      </w:pPr>
      <w:r>
        <w:rPr>
          <w:rFonts w:ascii="Courier New" w:hAnsi="Courier New"/>
          <w:sz w:val="18"/>
        </w:rPr>
        <w:t xml:space="preserve">  likelihood_score INT NOT NULL,   -- Calculated average, scaled</w:t>
      </w:r>
    </w:p>
    <w:p>
      <w:pPr>
        <w:ind w:left="720"/>
      </w:pPr>
      <w:r>
        <w:rPr>
          <w:rFonts w:ascii="Courier New" w:hAnsi="Courier New"/>
          <w:sz w:val="18"/>
        </w:rPr>
        <w:t xml:space="preserve">  likelihood_rating VARCHAR(50),    -- Rare, Unlikely, Possible, Likely, Almost Certain</w:t>
      </w:r>
    </w:p>
    <w:p>
      <w:pPr>
        <w:ind w:left="720"/>
      </w:pPr>
      <w:r>
        <w:rPr>
          <w:rFonts w:ascii="Courier New" w:hAnsi="Courier New"/>
          <w:sz w:val="18"/>
        </w:rPr>
        <w:t xml:space="preserve">  -- Impact Parameters</w:t>
      </w:r>
    </w:p>
    <w:p>
      <w:pPr>
        <w:ind w:left="720"/>
      </w:pPr>
      <w:r>
        <w:rPr>
          <w:rFonts w:ascii="Courier New" w:hAnsi="Courier New"/>
          <w:sz w:val="18"/>
        </w:rPr>
        <w:t xml:space="preserve">  business_impact_score INT,</w:t>
      </w:r>
    </w:p>
    <w:p>
      <w:pPr>
        <w:ind w:left="720"/>
      </w:pPr>
      <w:r>
        <w:rPr>
          <w:rFonts w:ascii="Courier New" w:hAnsi="Courier New"/>
          <w:sz w:val="18"/>
        </w:rPr>
        <w:t xml:space="preserve">  reputational_impact_score INT,</w:t>
      </w:r>
    </w:p>
    <w:p>
      <w:pPr>
        <w:ind w:left="720"/>
      </w:pPr>
      <w:r>
        <w:rPr>
          <w:rFonts w:ascii="Courier New" w:hAnsi="Courier New"/>
          <w:sz w:val="18"/>
        </w:rPr>
        <w:t xml:space="preserve">  financial_penalty_score INT,</w:t>
      </w:r>
    </w:p>
    <w:p>
      <w:pPr>
        <w:ind w:left="720"/>
      </w:pPr>
      <w:r>
        <w:rPr>
          <w:rFonts w:ascii="Courier New" w:hAnsi="Courier New"/>
          <w:sz w:val="18"/>
        </w:rPr>
        <w:t xml:space="preserve">  gl_impact_score INT,</w:t>
      </w:r>
    </w:p>
    <w:p>
      <w:pPr>
        <w:ind w:left="720"/>
      </w:pPr>
      <w:r>
        <w:rPr>
          <w:rFonts w:ascii="Courier New" w:hAnsi="Courier New"/>
          <w:sz w:val="18"/>
        </w:rPr>
        <w:t xml:space="preserve">  impact_score INT NOT NULL,       -- Calculated weighted average</w:t>
      </w:r>
    </w:p>
    <w:p>
      <w:pPr>
        <w:ind w:left="720"/>
      </w:pPr>
      <w:r>
        <w:rPr>
          <w:rFonts w:ascii="Courier New" w:hAnsi="Courier New"/>
          <w:sz w:val="18"/>
        </w:rPr>
        <w:t xml:space="preserve">  impact_rating VARCHAR(50),</w:t>
      </w:r>
    </w:p>
    <w:p>
      <w:pPr>
        <w:ind w:left="720"/>
      </w:pPr>
      <w:r>
        <w:rPr>
          <w:rFonts w:ascii="Courier New" w:hAnsi="Courier New"/>
          <w:sz w:val="18"/>
        </w:rPr>
        <w:t xml:space="preserve">  -- Inherent Risk Calculation</w:t>
      </w:r>
    </w:p>
    <w:p>
      <w:pPr>
        <w:ind w:left="720"/>
      </w:pPr>
      <w:r>
        <w:rPr>
          <w:rFonts w:ascii="Courier New" w:hAnsi="Courier New"/>
          <w:sz w:val="18"/>
        </w:rPr>
        <w:t xml:space="preserve">  inherent_risk_score INT NOT NULL, -- Likelihood * Impact</w:t>
      </w:r>
    </w:p>
    <w:p>
      <w:pPr>
        <w:ind w:left="720"/>
      </w:pPr>
      <w:r>
        <w:rPr>
          <w:rFonts w:ascii="Courier New" w:hAnsi="Courier New"/>
          <w:sz w:val="18"/>
        </w:rPr>
        <w:t xml:space="preserve">  inherent_risk_rating VARCHAR(50), -- Extremely High, Very High, High, Minor, Insignificant</w:t>
      </w:r>
    </w:p>
    <w:p>
      <w:pPr>
        <w:ind w:left="720"/>
      </w:pPr>
      <w:r>
        <w:rPr>
          <w:rFonts w:ascii="Courier New" w:hAnsi="Courier New"/>
          <w:sz w:val="18"/>
        </w:rPr>
        <w:t xml:space="preserve">  assessment_date DATE,</w:t>
      </w:r>
    </w:p>
    <w:p>
      <w:pPr>
        <w:ind w:left="720"/>
      </w:pPr>
      <w:r>
        <w:rPr>
          <w:rFonts w:ascii="Courier New" w:hAnsi="Courier New"/>
          <w:sz w:val="18"/>
        </w:rPr>
        <w:t xml:space="preserve">  FOREIGN KEY (au_id) REFERENCES assessment_units(au_id),</w:t>
      </w:r>
    </w:p>
    <w:p>
      <w:pPr>
        <w:ind w:left="720"/>
      </w:pPr>
      <w:r>
        <w:rPr>
          <w:rFonts w:ascii="Courier New" w:hAnsi="Courier New"/>
          <w:sz w:val="18"/>
        </w:rPr>
        <w:t xml:space="preserve">  FOREIGN KEY (assessment_period_id) REFERENCES assessment_periods(period_id)</w:t>
      </w:r>
    </w:p>
    <w:p>
      <w:pPr>
        <w:ind w:left="720"/>
      </w:pPr>
      <w:r>
        <w:rPr>
          <w:rFonts w:ascii="Courier New" w:hAnsi="Courier New"/>
          <w:sz w:val="18"/>
        </w:rPr>
        <w:t>);</w:t>
      </w:r>
    </w:p>
    <w:p>
      <w:pPr>
        <w:spacing w:after="120"/>
      </w:pPr>
    </w:p>
    <w:p>
      <w:pPr>
        <w:spacing w:after="120"/>
      </w:pPr>
      <w:r>
        <w:t>Control Quality Assessment Table:</w:t>
      </w:r>
    </w:p>
    <w:p>
      <w:pPr>
        <w:ind w:left="720"/>
      </w:pPr>
      <w:r>
        <w:rPr>
          <w:rFonts w:ascii="Courier New" w:hAnsi="Courier New"/>
          <w:sz w:val="18"/>
        </w:rPr>
        <w:t>CREATE TABLE control_quality (</w:t>
      </w:r>
    </w:p>
    <w:p>
      <w:pPr>
        <w:ind w:left="720"/>
      </w:pPr>
      <w:r>
        <w:rPr>
          <w:rFonts w:ascii="Courier New" w:hAnsi="Courier New"/>
          <w:sz w:val="18"/>
        </w:rPr>
        <w:t xml:space="preserve">  cq_id INT PRIMARY KEY AUTO_INCREMENT,</w:t>
      </w:r>
    </w:p>
    <w:p>
      <w:pPr>
        <w:ind w:left="720"/>
      </w:pPr>
      <w:r>
        <w:rPr>
          <w:rFonts w:ascii="Courier New" w:hAnsi="Courier New"/>
          <w:sz w:val="18"/>
        </w:rPr>
        <w:t xml:space="preserve">  control_id INT NOT NULL,</w:t>
      </w:r>
    </w:p>
    <w:p>
      <w:pPr>
        <w:ind w:left="720"/>
      </w:pPr>
      <w:r>
        <w:rPr>
          <w:rFonts w:ascii="Courier New" w:hAnsi="Courier New"/>
          <w:sz w:val="18"/>
        </w:rPr>
        <w:t xml:space="preserve">  assessment_period_id INT NOT NULL,</w:t>
      </w:r>
    </w:p>
    <w:p>
      <w:pPr>
        <w:ind w:left="720"/>
      </w:pPr>
      <w:r>
        <w:rPr>
          <w:rFonts w:ascii="Courier New" w:hAnsi="Courier New"/>
          <w:sz w:val="18"/>
        </w:rPr>
        <w:t xml:space="preserve">  -- Design Parameters</w:t>
      </w:r>
    </w:p>
    <w:p>
      <w:pPr>
        <w:ind w:left="720"/>
      </w:pPr>
      <w:r>
        <w:rPr>
          <w:rFonts w:ascii="Courier New" w:hAnsi="Courier New"/>
          <w:sz w:val="18"/>
        </w:rPr>
        <w:t xml:space="preserve">  monitoring_score INT,            -- 1, 3, or 5</w:t>
      </w:r>
    </w:p>
    <w:p>
      <w:pPr>
        <w:ind w:left="720"/>
      </w:pPr>
      <w:r>
        <w:rPr>
          <w:rFonts w:ascii="Courier New" w:hAnsi="Courier New"/>
          <w:sz w:val="18"/>
        </w:rPr>
        <w:t xml:space="preserve">  automation_score INT,            -- 1, 3, or 5</w:t>
      </w:r>
    </w:p>
    <w:p>
      <w:pPr>
        <w:ind w:left="720"/>
      </w:pPr>
      <w:r>
        <w:rPr>
          <w:rFonts w:ascii="Courier New" w:hAnsi="Courier New"/>
          <w:sz w:val="18"/>
        </w:rPr>
        <w:t xml:space="preserve">  control_type_score INT,          -- 1, 3, or 5</w:t>
      </w:r>
    </w:p>
    <w:p>
      <w:pPr>
        <w:ind w:left="720"/>
      </w:pPr>
      <w:r>
        <w:rPr>
          <w:rFonts w:ascii="Courier New" w:hAnsi="Courier New"/>
          <w:sz w:val="18"/>
        </w:rPr>
        <w:t xml:space="preserve">  documentation_score INT,         -- 1 or 5</w:t>
      </w:r>
    </w:p>
    <w:p>
      <w:pPr>
        <w:ind w:left="720"/>
      </w:pPr>
      <w:r>
        <w:rPr>
          <w:rFonts w:ascii="Courier New" w:hAnsi="Courier New"/>
          <w:sz w:val="18"/>
        </w:rPr>
        <w:t xml:space="preserve">  cqa_raw_score INT,               -- Product of 4 parameters</w:t>
      </w:r>
    </w:p>
    <w:p>
      <w:pPr>
        <w:ind w:left="720"/>
      </w:pPr>
      <w:r>
        <w:rPr>
          <w:rFonts w:ascii="Courier New" w:hAnsi="Courier New"/>
          <w:sz w:val="18"/>
        </w:rPr>
        <w:t xml:space="preserve">  cqa_scaled_score INT,            -- Scaled to 5/10/15/20/25</w:t>
      </w:r>
    </w:p>
    <w:p>
      <w:pPr>
        <w:ind w:left="720"/>
      </w:pPr>
      <w:r>
        <w:rPr>
          <w:rFonts w:ascii="Courier New" w:hAnsi="Courier New"/>
          <w:sz w:val="18"/>
        </w:rPr>
        <w:t xml:space="preserve">  control_category VARCHAR(100),   -- Significantly Effective, Effective, etc.</w:t>
      </w:r>
    </w:p>
    <w:p>
      <w:pPr>
        <w:ind w:left="720"/>
      </w:pPr>
      <w:r>
        <w:rPr>
          <w:rFonts w:ascii="Courier New" w:hAnsi="Courier New"/>
          <w:sz w:val="18"/>
        </w:rPr>
        <w:t xml:space="preserve">  FOREIGN KEY (control_id) REFERENCES controls(control_id),</w:t>
      </w:r>
    </w:p>
    <w:p>
      <w:pPr>
        <w:ind w:left="720"/>
      </w:pPr>
      <w:r>
        <w:rPr>
          <w:rFonts w:ascii="Courier New" w:hAnsi="Courier New"/>
          <w:sz w:val="18"/>
        </w:rPr>
        <w:t xml:space="preserve">  FOREIGN KEY (assessment_period_id) REFERENCES assessment_periods(period_id)</w:t>
      </w:r>
    </w:p>
    <w:p>
      <w:pPr>
        <w:ind w:left="720"/>
      </w:pPr>
      <w:r>
        <w:rPr>
          <w:rFonts w:ascii="Courier New" w:hAnsi="Courier New"/>
          <w:sz w:val="18"/>
        </w:rPr>
        <w:t>);</w:t>
      </w:r>
    </w:p>
    <w:p>
      <w:pPr>
        <w:spacing w:after="120"/>
      </w:pPr>
    </w:p>
    <w:p>
      <w:pPr>
        <w:spacing w:after="120"/>
      </w:pPr>
      <w:r>
        <w:t>Control Performance Assessment Table:</w:t>
      </w:r>
    </w:p>
    <w:p>
      <w:pPr>
        <w:ind w:left="720"/>
      </w:pPr>
      <w:r>
        <w:rPr>
          <w:rFonts w:ascii="Courier New" w:hAnsi="Courier New"/>
          <w:sz w:val="18"/>
        </w:rPr>
        <w:t>CREATE TABLE control_performance (</w:t>
      </w:r>
    </w:p>
    <w:p>
      <w:pPr>
        <w:ind w:left="720"/>
      </w:pPr>
      <w:r>
        <w:rPr>
          <w:rFonts w:ascii="Courier New" w:hAnsi="Courier New"/>
          <w:sz w:val="18"/>
        </w:rPr>
        <w:t xml:space="preserve">  cp_id INT PRIMARY KEY AUTO_INCREMENT,</w:t>
      </w:r>
    </w:p>
    <w:p>
      <w:pPr>
        <w:ind w:left="720"/>
      </w:pPr>
      <w:r>
        <w:rPr>
          <w:rFonts w:ascii="Courier New" w:hAnsi="Courier New"/>
          <w:sz w:val="18"/>
        </w:rPr>
        <w:t xml:space="preserve">  control_id INT NOT NULL,</w:t>
      </w:r>
    </w:p>
    <w:p>
      <w:pPr>
        <w:ind w:left="720"/>
      </w:pPr>
      <w:r>
        <w:rPr>
          <w:rFonts w:ascii="Courier New" w:hAnsi="Courier New"/>
          <w:sz w:val="18"/>
        </w:rPr>
        <w:t xml:space="preserve">  assessment_period_id INT NOT NULL,</w:t>
      </w:r>
    </w:p>
    <w:p>
      <w:pPr>
        <w:ind w:left="720"/>
      </w:pPr>
      <w:r>
        <w:rPr>
          <w:rFonts w:ascii="Courier New" w:hAnsi="Courier New"/>
          <w:sz w:val="18"/>
        </w:rPr>
        <w:t xml:space="preserve">  kci_linked BOOLEAN,</w:t>
      </w:r>
    </w:p>
    <w:p>
      <w:pPr>
        <w:ind w:left="720"/>
      </w:pPr>
      <w:r>
        <w:rPr>
          <w:rFonts w:ascii="Courier New" w:hAnsi="Courier New"/>
          <w:sz w:val="18"/>
        </w:rPr>
        <w:t xml:space="preserve">  kci_result VARCHAR(50),          -- Pass, Fail, NA</w:t>
      </w:r>
    </w:p>
    <w:p>
      <w:pPr>
        <w:ind w:left="720"/>
      </w:pPr>
      <w:r>
        <w:rPr>
          <w:rFonts w:ascii="Courier New" w:hAnsi="Courier New"/>
          <w:sz w:val="18"/>
        </w:rPr>
        <w:t xml:space="preserve">  self_assessment_result VARCHAR(50), -- Pass, Pass with Exception, Fail, NA</w:t>
      </w:r>
    </w:p>
    <w:p>
      <w:pPr>
        <w:ind w:left="720"/>
      </w:pPr>
      <w:r>
        <w:rPr>
          <w:rFonts w:ascii="Courier New" w:hAnsi="Courier New"/>
          <w:sz w:val="18"/>
        </w:rPr>
        <w:t xml:space="preserve">  control_testing_result VARCHAR(50),  -- Pass, Pass with Exception, Fail, Not Tested</w:t>
      </w:r>
    </w:p>
    <w:p>
      <w:pPr>
        <w:ind w:left="720"/>
      </w:pPr>
      <w:r>
        <w:rPr>
          <w:rFonts w:ascii="Courier New" w:hAnsi="Courier New"/>
          <w:sz w:val="18"/>
        </w:rPr>
        <w:t xml:space="preserve">  cpa_score INT,                   -- Combined score from KCI &amp; testing</w:t>
      </w:r>
    </w:p>
    <w:p>
      <w:pPr>
        <w:ind w:left="720"/>
      </w:pPr>
      <w:r>
        <w:rPr>
          <w:rFonts w:ascii="Courier New" w:hAnsi="Courier New"/>
          <w:sz w:val="18"/>
        </w:rPr>
        <w:t xml:space="preserve">  cpa_scaled_score INT,            -- Scaled to 5/10/15/20/25</w:t>
      </w:r>
    </w:p>
    <w:p>
      <w:pPr>
        <w:ind w:left="720"/>
      </w:pPr>
      <w:r>
        <w:rPr>
          <w:rFonts w:ascii="Courier New" w:hAnsi="Courier New"/>
          <w:sz w:val="18"/>
        </w:rPr>
        <w:t xml:space="preserve">  performance_category VARCHAR(100),</w:t>
      </w:r>
    </w:p>
    <w:p>
      <w:pPr>
        <w:ind w:left="720"/>
      </w:pPr>
      <w:r>
        <w:rPr>
          <w:rFonts w:ascii="Courier New" w:hAnsi="Courier New"/>
          <w:sz w:val="18"/>
        </w:rPr>
        <w:t xml:space="preserve">  FOREIGN KEY (control_id) REFERENCES controls(control_id),</w:t>
      </w:r>
    </w:p>
    <w:p>
      <w:pPr>
        <w:ind w:left="720"/>
      </w:pPr>
      <w:r>
        <w:rPr>
          <w:rFonts w:ascii="Courier New" w:hAnsi="Courier New"/>
          <w:sz w:val="18"/>
        </w:rPr>
        <w:t xml:space="preserve">  FOREIGN KEY (assessment_period_id) REFERENCES assessment_periods(period_id)</w:t>
      </w:r>
    </w:p>
    <w:p>
      <w:pPr>
        <w:ind w:left="720"/>
      </w:pPr>
      <w:r>
        <w:rPr>
          <w:rFonts w:ascii="Courier New" w:hAnsi="Courier New"/>
          <w:sz w:val="18"/>
        </w:rPr>
        <w:t>);</w:t>
      </w:r>
    </w:p>
    <w:p>
      <w:pPr>
        <w:spacing w:after="120"/>
      </w:pPr>
    </w:p>
    <w:p>
      <w:pPr>
        <w:spacing w:after="120"/>
      </w:pPr>
      <w:r>
        <w:t>Control Environment Rating Table:</w:t>
      </w:r>
    </w:p>
    <w:p>
      <w:pPr>
        <w:ind w:left="720"/>
      </w:pPr>
      <w:r>
        <w:rPr>
          <w:rFonts w:ascii="Courier New" w:hAnsi="Courier New"/>
          <w:sz w:val="18"/>
        </w:rPr>
        <w:t>CREATE TABLE control_environment_rating (</w:t>
      </w:r>
    </w:p>
    <w:p>
      <w:pPr>
        <w:ind w:left="720"/>
      </w:pPr>
      <w:r>
        <w:rPr>
          <w:rFonts w:ascii="Courier New" w:hAnsi="Courier New"/>
          <w:sz w:val="18"/>
        </w:rPr>
        <w:t xml:space="preserve">  cer_id INT PRIMARY KEY AUTO_INCREMENT,</w:t>
      </w:r>
    </w:p>
    <w:p>
      <w:pPr>
        <w:ind w:left="720"/>
      </w:pPr>
      <w:r>
        <w:rPr>
          <w:rFonts w:ascii="Courier New" w:hAnsi="Courier New"/>
          <w:sz w:val="18"/>
        </w:rPr>
        <w:t xml:space="preserve">  au_id INT NOT NULL,</w:t>
      </w:r>
    </w:p>
    <w:p>
      <w:pPr>
        <w:ind w:left="720"/>
      </w:pPr>
      <w:r>
        <w:rPr>
          <w:rFonts w:ascii="Courier New" w:hAnsi="Courier New"/>
          <w:sz w:val="18"/>
        </w:rPr>
        <w:t xml:space="preserve">  assessment_period_id INT NOT NULL,</w:t>
      </w:r>
    </w:p>
    <w:p>
      <w:pPr>
        <w:ind w:left="720"/>
      </w:pPr>
      <w:r>
        <w:rPr>
          <w:rFonts w:ascii="Courier New" w:hAnsi="Courier New"/>
          <w:sz w:val="18"/>
        </w:rPr>
        <w:t xml:space="preserve">  cqi_score DECIMAL(5,2),          -- Control Quality Index</w:t>
      </w:r>
    </w:p>
    <w:p>
      <w:pPr>
        <w:ind w:left="720"/>
      </w:pPr>
      <w:r>
        <w:rPr>
          <w:rFonts w:ascii="Courier New" w:hAnsi="Courier New"/>
          <w:sz w:val="18"/>
        </w:rPr>
        <w:t xml:space="preserve">  cpi_score DECIMAL(5,2),          -- Control Performance Index</w:t>
      </w:r>
    </w:p>
    <w:p>
      <w:pPr>
        <w:ind w:left="720"/>
      </w:pPr>
      <w:r>
        <w:rPr>
          <w:rFonts w:ascii="Courier New" w:hAnsi="Courier New"/>
          <w:sz w:val="18"/>
        </w:rPr>
        <w:t xml:space="preserve">  cer_score DECIMAL(5,2),          -- CQI * CPI</w:t>
      </w:r>
    </w:p>
    <w:p>
      <w:pPr>
        <w:ind w:left="720"/>
      </w:pPr>
      <w:r>
        <w:rPr>
          <w:rFonts w:ascii="Courier New" w:hAnsi="Courier New"/>
          <w:sz w:val="18"/>
        </w:rPr>
        <w:t xml:space="preserve">  cer_rating VARCHAR(100),         -- Effective, Meets Requirements, etc.</w:t>
      </w:r>
    </w:p>
    <w:p>
      <w:pPr>
        <w:ind w:left="720"/>
      </w:pPr>
      <w:r>
        <w:rPr>
          <w:rFonts w:ascii="Courier New" w:hAnsi="Courier New"/>
          <w:sz w:val="18"/>
        </w:rPr>
        <w:t xml:space="preserve">  FOREIGN KEY (au_id) REFERENCES assessment_units(au_id),</w:t>
      </w:r>
    </w:p>
    <w:p>
      <w:pPr>
        <w:ind w:left="720"/>
      </w:pPr>
      <w:r>
        <w:rPr>
          <w:rFonts w:ascii="Courier New" w:hAnsi="Courier New"/>
          <w:sz w:val="18"/>
        </w:rPr>
        <w:t xml:space="preserve">  FOREIGN KEY (assessment_period_id) REFERENCES assessment_periods(period_id)</w:t>
      </w:r>
    </w:p>
    <w:p>
      <w:pPr>
        <w:ind w:left="720"/>
      </w:pPr>
      <w:r>
        <w:rPr>
          <w:rFonts w:ascii="Courier New" w:hAnsi="Courier New"/>
          <w:sz w:val="18"/>
        </w:rPr>
        <w:t>);</w:t>
      </w:r>
    </w:p>
    <w:p>
      <w:pPr>
        <w:spacing w:after="120"/>
      </w:pPr>
    </w:p>
    <w:p>
      <w:pPr>
        <w:spacing w:after="120"/>
      </w:pPr>
      <w:r>
        <w:t>Residual Risk Table:</w:t>
      </w:r>
    </w:p>
    <w:p>
      <w:pPr>
        <w:ind w:left="720"/>
      </w:pPr>
      <w:r>
        <w:rPr>
          <w:rFonts w:ascii="Courier New" w:hAnsi="Courier New"/>
          <w:sz w:val="18"/>
        </w:rPr>
        <w:t>CREATE TABLE residual_risk (</w:t>
      </w:r>
    </w:p>
    <w:p>
      <w:pPr>
        <w:ind w:left="720"/>
      </w:pPr>
      <w:r>
        <w:rPr>
          <w:rFonts w:ascii="Courier New" w:hAnsi="Courier New"/>
          <w:sz w:val="18"/>
        </w:rPr>
        <w:t xml:space="preserve">  rr_id INT PRIMARY KEY AUTO_INCREMENT,</w:t>
      </w:r>
    </w:p>
    <w:p>
      <w:pPr>
        <w:ind w:left="720"/>
      </w:pPr>
      <w:r>
        <w:rPr>
          <w:rFonts w:ascii="Courier New" w:hAnsi="Courier New"/>
          <w:sz w:val="18"/>
        </w:rPr>
        <w:t xml:space="preserve">  au_id INT NOT NULL,</w:t>
      </w:r>
    </w:p>
    <w:p>
      <w:pPr>
        <w:ind w:left="720"/>
      </w:pPr>
      <w:r>
        <w:rPr>
          <w:rFonts w:ascii="Courier New" w:hAnsi="Courier New"/>
          <w:sz w:val="18"/>
        </w:rPr>
        <w:t xml:space="preserve">  assessment_period_id INT NOT NULL,</w:t>
      </w:r>
    </w:p>
    <w:p>
      <w:pPr>
        <w:ind w:left="720"/>
      </w:pPr>
      <w:r>
        <w:rPr>
          <w:rFonts w:ascii="Courier New" w:hAnsi="Courier New"/>
          <w:sz w:val="18"/>
        </w:rPr>
        <w:t xml:space="preserve">  inherent_risk_score INT NOT NULL,</w:t>
      </w:r>
    </w:p>
    <w:p>
      <w:pPr>
        <w:ind w:left="720"/>
      </w:pPr>
      <w:r>
        <w:rPr>
          <w:rFonts w:ascii="Courier New" w:hAnsi="Courier New"/>
          <w:sz w:val="18"/>
        </w:rPr>
        <w:t xml:space="preserve">  cer_score DECIMAL(5,2) NOT NULL,</w:t>
      </w:r>
    </w:p>
    <w:p>
      <w:pPr>
        <w:ind w:left="720"/>
      </w:pPr>
      <w:r>
        <w:rPr>
          <w:rFonts w:ascii="Courier New" w:hAnsi="Courier New"/>
          <w:sz w:val="18"/>
        </w:rPr>
        <w:t xml:space="preserve">  residual_risk_score DECIMAL(5,2), -- IR / CER</w:t>
      </w:r>
    </w:p>
    <w:p>
      <w:pPr>
        <w:ind w:left="720"/>
      </w:pPr>
      <w:r>
        <w:rPr>
          <w:rFonts w:ascii="Courier New" w:hAnsi="Courier New"/>
          <w:sz w:val="18"/>
        </w:rPr>
        <w:t xml:space="preserve">  residual_risk_rating VARCHAR(50), -- Well Controlled, Meets Requirement, etc.</w:t>
      </w:r>
    </w:p>
    <w:p>
      <w:pPr>
        <w:ind w:left="720"/>
      </w:pPr>
      <w:r>
        <w:rPr>
          <w:rFonts w:ascii="Courier New" w:hAnsi="Courier New"/>
          <w:sz w:val="18"/>
        </w:rPr>
        <w:t xml:space="preserve">  aggregate_weight DECIMAL(5,2),</w:t>
      </w:r>
    </w:p>
    <w:p>
      <w:pPr>
        <w:ind w:left="720"/>
      </w:pPr>
      <w:r>
        <w:rPr>
          <w:rFonts w:ascii="Courier New" w:hAnsi="Courier New"/>
          <w:sz w:val="18"/>
        </w:rPr>
        <w:t xml:space="preserve">  assessment_date DATE,</w:t>
      </w:r>
    </w:p>
    <w:p>
      <w:pPr>
        <w:ind w:left="720"/>
      </w:pPr>
      <w:r>
        <w:rPr>
          <w:rFonts w:ascii="Courier New" w:hAnsi="Courier New"/>
          <w:sz w:val="18"/>
        </w:rPr>
        <w:t xml:space="preserve">  FOREIGN KEY (au_id) REFERENCES assessment_units(au_id),</w:t>
      </w:r>
    </w:p>
    <w:p>
      <w:pPr>
        <w:ind w:left="720"/>
      </w:pPr>
      <w:r>
        <w:rPr>
          <w:rFonts w:ascii="Courier New" w:hAnsi="Courier New"/>
          <w:sz w:val="18"/>
        </w:rPr>
        <w:t xml:space="preserve">  FOREIGN KEY (assessment_period_id) REFERENCES assessment_periods(period_id)</w:t>
      </w:r>
    </w:p>
    <w:p>
      <w:pPr>
        <w:ind w:left="720"/>
      </w:pPr>
      <w:r>
        <w:rPr>
          <w:rFonts w:ascii="Courier New" w:hAnsi="Courier New"/>
          <w:sz w:val="18"/>
        </w:rPr>
        <w:t>);</w:t>
      </w:r>
    </w:p>
    <w:p>
      <w:r>
        <w:br w:type="page"/>
      </w:r>
    </w:p>
    <w:p>
      <w:pPr>
        <w:pStyle w:val="Heading2"/>
        <w:spacing w:before="200" w:after="120"/>
      </w:pPr>
      <w:r>
        <w:t>7.2 Indexes &amp; Constraints</w:t>
      </w:r>
    </w:p>
    <w:p>
      <w:pPr>
        <w:spacing w:after="120"/>
      </w:pPr>
      <w:r>
        <w:t>Performance Indexes:</w:t>
      </w:r>
    </w:p>
    <w:p>
      <w:pPr>
        <w:ind w:left="720"/>
      </w:pPr>
      <w:r>
        <w:rPr>
          <w:rFonts w:ascii="Courier New" w:hAnsi="Courier New"/>
          <w:sz w:val="18"/>
        </w:rPr>
        <w:t>CREATE INDEX idx_au_theme ON assessment_units(theme_id);</w:t>
      </w:r>
    </w:p>
    <w:p>
      <w:pPr>
        <w:ind w:left="720"/>
      </w:pPr>
      <w:r>
        <w:rPr>
          <w:rFonts w:ascii="Courier New" w:hAnsi="Courier New"/>
          <w:sz w:val="18"/>
        </w:rPr>
        <w:t>CREATE INDEX idx_obligation_au ON compliance_obligations(au_id);</w:t>
      </w:r>
    </w:p>
    <w:p>
      <w:pPr>
        <w:ind w:left="720"/>
      </w:pPr>
      <w:r>
        <w:rPr>
          <w:rFonts w:ascii="Courier New" w:hAnsi="Courier New"/>
          <w:sz w:val="18"/>
        </w:rPr>
        <w:t>CREATE INDEX idx_control_obligation ON controls(obligation_id);</w:t>
      </w:r>
    </w:p>
    <w:p>
      <w:pPr>
        <w:ind w:left="720"/>
      </w:pPr>
      <w:r>
        <w:rPr>
          <w:rFonts w:ascii="Courier New" w:hAnsi="Courier New"/>
          <w:sz w:val="18"/>
        </w:rPr>
        <w:t>CREATE INDEX idx_ir_period ON inherent_risk(assessment_period_id);</w:t>
      </w:r>
    </w:p>
    <w:p>
      <w:pPr>
        <w:ind w:left="720"/>
      </w:pPr>
      <w:r>
        <w:rPr>
          <w:rFonts w:ascii="Courier New" w:hAnsi="Courier New"/>
          <w:sz w:val="18"/>
        </w:rPr>
        <w:t>CREATE INDEX idx_rr_period ON residual_risk(assessment_period_id);</w:t>
      </w:r>
    </w:p>
    <w:p>
      <w:pPr>
        <w:spacing w:after="120"/>
      </w:pPr>
    </w:p>
    <w:p>
      <w:pPr>
        <w:spacing w:after="120"/>
      </w:pPr>
      <w:r>
        <w:t>Unique Constraints:</w:t>
      </w:r>
    </w:p>
    <w:p>
      <w:pPr>
        <w:ind w:left="720"/>
      </w:pPr>
      <w:r>
        <w:rPr>
          <w:rFonts w:ascii="Courier New" w:hAnsi="Courier New"/>
          <w:sz w:val="18"/>
        </w:rPr>
        <w:t>ALTER TABLE inherent_risk ADD UNIQUE(au_id, assessment_period_id);</w:t>
      </w:r>
    </w:p>
    <w:p>
      <w:pPr>
        <w:ind w:left="720"/>
      </w:pPr>
      <w:r>
        <w:rPr>
          <w:rFonts w:ascii="Courier New" w:hAnsi="Courier New"/>
          <w:sz w:val="18"/>
        </w:rPr>
        <w:t>ALTER TABLE control_environment_rating ADD UNIQUE(au_id, assessment_period_id);</w:t>
      </w:r>
    </w:p>
    <w:p>
      <w:pPr>
        <w:ind w:left="720"/>
      </w:pPr>
      <w:r>
        <w:rPr>
          <w:rFonts w:ascii="Courier New" w:hAnsi="Courier New"/>
          <w:sz w:val="18"/>
        </w:rPr>
        <w:t>ALTER TABLE residual_risk ADD UNIQUE(au_id, assessment_period_id);</w:t>
      </w:r>
    </w:p>
    <w:p>
      <w:r>
        <w:br w:type="page"/>
      </w:r>
    </w:p>
    <w:p>
      <w:pPr>
        <w:pStyle w:val="Heading1"/>
        <w:spacing w:before="280" w:after="120"/>
      </w:pPr>
      <w:r>
        <w:t>8. API Specifications</w:t>
      </w:r>
    </w:p>
    <w:p>
      <w:pPr>
        <w:spacing w:after="120"/>
      </w:pPr>
      <w:r>
        <w:t>REST API endpoints for the CRAF system. All endpoints return JSON format.</w:t>
      </w:r>
    </w:p>
    <w:p>
      <w:pPr>
        <w:pStyle w:val="Heading2"/>
        <w:spacing w:before="200" w:after="120"/>
      </w:pPr>
      <w:r>
        <w:t>8.1 Authentication</w:t>
      </w:r>
    </w:p>
    <w:p>
      <w:pPr>
        <w:spacing w:after="120"/>
      </w:pPr>
      <w:r>
        <w:t>For demo purposes, authentication is simplified. Production would use JWT tokens.</w:t>
      </w:r>
    </w:p>
    <w:p>
      <w:pPr>
        <w:ind w:left="720"/>
      </w:pPr>
      <w:r>
        <w:rPr>
          <w:rFonts w:ascii="Courier New" w:hAnsi="Courier New"/>
          <w:sz w:val="18"/>
        </w:rPr>
        <w:t>POST /api/auth/login</w:t>
      </w:r>
    </w:p>
    <w:p>
      <w:pPr>
        <w:ind w:left="720"/>
      </w:pPr>
      <w:r>
        <w:rPr>
          <w:rFonts w:ascii="Courier New" w:hAnsi="Courier New"/>
          <w:sz w:val="18"/>
        </w:rPr>
        <w:t>Request: { username, password }</w:t>
      </w:r>
    </w:p>
    <w:p>
      <w:pPr>
        <w:ind w:left="720"/>
      </w:pPr>
      <w:r>
        <w:rPr>
          <w:rFonts w:ascii="Courier New" w:hAnsi="Courier New"/>
          <w:sz w:val="18"/>
        </w:rPr>
        <w:t>Response: { token, user_id, user_name, role }</w:t>
      </w:r>
    </w:p>
    <w:p>
      <w:pPr>
        <w:pStyle w:val="Heading2"/>
        <w:spacing w:before="200" w:after="120"/>
      </w:pPr>
      <w:r>
        <w:t>8.2 Dashboard APIs</w:t>
      </w:r>
    </w:p>
    <w:p>
      <w:pPr>
        <w:spacing w:after="120"/>
      </w:pPr>
      <w:r>
        <w:t>Executive Dashboard Data:</w:t>
      </w:r>
    </w:p>
    <w:p>
      <w:pPr>
        <w:ind w:left="720"/>
      </w:pPr>
      <w:r>
        <w:rPr>
          <w:rFonts w:ascii="Courier New" w:hAnsi="Courier New"/>
          <w:sz w:val="18"/>
        </w:rPr>
        <w:t>GET /api/dashboard/executive</w:t>
      </w:r>
    </w:p>
    <w:p>
      <w:pPr>
        <w:ind w:left="720"/>
      </w:pPr>
      <w:r>
        <w:rPr>
          <w:rFonts w:ascii="Courier New" w:hAnsi="Courier New"/>
          <w:sz w:val="18"/>
        </w:rPr>
        <w:t>Query Parameters: ?period_id={period_id}&amp;view_mode={realtime|periodic}</w:t>
      </w:r>
    </w:p>
    <w:p>
      <w:pPr>
        <w:ind w:left="720"/>
      </w:pPr>
      <w:r>
        <w:rPr>
          <w:rFonts w:ascii="Courier New" w:hAnsi="Courier New"/>
          <w:sz w:val="18"/>
        </w:rPr>
        <w:t>Response:</w:t>
      </w:r>
    </w:p>
    <w:p>
      <w:pPr>
        <w:ind w:left="720"/>
      </w:pPr>
      <w:r>
        <w:rPr>
          <w:rFonts w:ascii="Courier New" w:hAnsi="Courier New"/>
          <w:sz w:val="18"/>
        </w:rPr>
        <w:t>{</w:t>
      </w:r>
    </w:p>
    <w:p>
      <w:pPr>
        <w:ind w:left="720"/>
      </w:pPr>
      <w:r>
        <w:rPr>
          <w:rFonts w:ascii="Courier New" w:hAnsi="Courier New"/>
          <w:sz w:val="18"/>
        </w:rPr>
        <w:t xml:space="preserve">  overall_residual_risk_score: 45.2,</w:t>
      </w:r>
    </w:p>
    <w:p>
      <w:pPr>
        <w:ind w:left="720"/>
      </w:pPr>
      <w:r>
        <w:rPr>
          <w:rFonts w:ascii="Courier New" w:hAnsi="Courier New"/>
          <w:sz w:val="18"/>
        </w:rPr>
        <w:t xml:space="preserve">  high_critical_risks_count: 8,</w:t>
      </w:r>
    </w:p>
    <w:p>
      <w:pPr>
        <w:ind w:left="720"/>
      </w:pPr>
      <w:r>
        <w:rPr>
          <w:rFonts w:ascii="Courier New" w:hAnsi="Courier New"/>
          <w:sz w:val="18"/>
        </w:rPr>
        <w:t xml:space="preserve">  control_effectiveness_pct: 78.5,</w:t>
      </w:r>
    </w:p>
    <w:p>
      <w:pPr>
        <w:ind w:left="720"/>
      </w:pPr>
      <w:r>
        <w:rPr>
          <w:rFonts w:ascii="Courier New" w:hAnsi="Courier New"/>
          <w:sz w:val="18"/>
        </w:rPr>
        <w:t xml:space="preserve">  compliance_breach_trend: [12, 10, 8, 7, 6],</w:t>
      </w:r>
    </w:p>
    <w:p>
      <w:pPr>
        <w:ind w:left="720"/>
      </w:pPr>
      <w:r>
        <w:rPr>
          <w:rFonts w:ascii="Courier New" w:hAnsi="Courier New"/>
          <w:sz w:val="18"/>
        </w:rPr>
        <w:t xml:space="preserve">  risk_heatmap: [</w:t>
      </w:r>
    </w:p>
    <w:p>
      <w:pPr>
        <w:ind w:left="720"/>
      </w:pPr>
      <w:r>
        <w:rPr>
          <w:rFonts w:ascii="Courier New" w:hAnsi="Courier New"/>
          <w:sz w:val="18"/>
        </w:rPr>
        <w:t xml:space="preserve">    { au_id, au_name, residual_risk_score, risk_rating, theme },</w:t>
      </w:r>
    </w:p>
    <w:p>
      <w:pPr>
        <w:ind w:left="720"/>
      </w:pPr>
      <w:r>
        <w:rPr>
          <w:rFonts w:ascii="Courier New" w:hAnsi="Courier New"/>
          <w:sz w:val="18"/>
        </w:rPr>
        <w:t xml:space="preserve">    ...</w:t>
      </w:r>
    </w:p>
    <w:p>
      <w:pPr>
        <w:ind w:left="720"/>
      </w:pPr>
      <w:r>
        <w:rPr>
          <w:rFonts w:ascii="Courier New" w:hAnsi="Courier New"/>
          <w:sz w:val="18"/>
        </w:rPr>
        <w:t xml:space="preserve">  ],</w:t>
      </w:r>
    </w:p>
    <w:p>
      <w:pPr>
        <w:ind w:left="720"/>
      </w:pPr>
      <w:r>
        <w:rPr>
          <w:rFonts w:ascii="Courier New" w:hAnsi="Courier New"/>
          <w:sz w:val="18"/>
        </w:rPr>
        <w:t xml:space="preserve">  risk_trends: { labels: [...], data: [...] },</w:t>
      </w:r>
    </w:p>
    <w:p>
      <w:pPr>
        <w:ind w:left="720"/>
      </w:pPr>
      <w:r>
        <w:rPr>
          <w:rFonts w:ascii="Courier New" w:hAnsi="Courier New"/>
          <w:sz w:val="18"/>
        </w:rPr>
        <w:t xml:space="preserve">  risk_distribution_by_theme: {...}</w:t>
      </w:r>
    </w:p>
    <w:p>
      <w:pPr>
        <w:ind w:left="720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after="120"/>
      </w:pPr>
      <w:r>
        <w:t>Assessment Unit Details:</w:t>
      </w:r>
    </w:p>
    <w:p>
      <w:pPr>
        <w:ind w:left="720"/>
      </w:pPr>
      <w:r>
        <w:rPr>
          <w:rFonts w:ascii="Courier New" w:hAnsi="Courier New"/>
          <w:sz w:val="18"/>
        </w:rPr>
        <w:t>GET /api/assessment-units/{au_id}/detail</w:t>
      </w:r>
    </w:p>
    <w:p>
      <w:pPr>
        <w:ind w:left="720"/>
      </w:pPr>
      <w:r>
        <w:rPr>
          <w:rFonts w:ascii="Courier New" w:hAnsi="Courier New"/>
          <w:sz w:val="18"/>
        </w:rPr>
        <w:t>Query Parameters: ?period_id={period_id}</w:t>
      </w:r>
    </w:p>
    <w:p>
      <w:pPr>
        <w:ind w:left="720"/>
      </w:pPr>
      <w:r>
        <w:rPr>
          <w:rFonts w:ascii="Courier New" w:hAnsi="Courier New"/>
          <w:sz w:val="18"/>
        </w:rPr>
        <w:t>Response:</w:t>
      </w:r>
    </w:p>
    <w:p>
      <w:pPr>
        <w:ind w:left="720"/>
      </w:pPr>
      <w:r>
        <w:rPr>
          <w:rFonts w:ascii="Courier New" w:hAnsi="Courier New"/>
          <w:sz w:val="18"/>
        </w:rPr>
        <w:t>{</w:t>
      </w:r>
    </w:p>
    <w:p>
      <w:pPr>
        <w:ind w:left="720"/>
      </w:pPr>
      <w:r>
        <w:rPr>
          <w:rFonts w:ascii="Courier New" w:hAnsi="Courier New"/>
          <w:sz w:val="18"/>
        </w:rPr>
        <w:t xml:space="preserve">  au_info: { au_id, au_name, theme, business_area, owner },</w:t>
      </w:r>
    </w:p>
    <w:p>
      <w:pPr>
        <w:ind w:left="720"/>
      </w:pPr>
      <w:r>
        <w:rPr>
          <w:rFonts w:ascii="Courier New" w:hAnsi="Courier New"/>
          <w:sz w:val="18"/>
        </w:rPr>
        <w:t xml:space="preserve">  inherent_risk: {</w:t>
      </w:r>
    </w:p>
    <w:p>
      <w:pPr>
        <w:ind w:left="720"/>
      </w:pPr>
      <w:r>
        <w:rPr>
          <w:rFonts w:ascii="Courier New" w:hAnsi="Courier New"/>
          <w:sz w:val="18"/>
        </w:rPr>
        <w:t xml:space="preserve">    likelihood_score, likelihood_rating,</w:t>
      </w:r>
    </w:p>
    <w:p>
      <w:pPr>
        <w:ind w:left="720"/>
      </w:pPr>
      <w:r>
        <w:rPr>
          <w:rFonts w:ascii="Courier New" w:hAnsi="Courier New"/>
          <w:sz w:val="18"/>
        </w:rPr>
        <w:t xml:space="preserve">    likelihood_parameters: {...},</w:t>
      </w:r>
    </w:p>
    <w:p>
      <w:pPr>
        <w:ind w:left="720"/>
      </w:pPr>
      <w:r>
        <w:rPr>
          <w:rFonts w:ascii="Courier New" w:hAnsi="Courier New"/>
          <w:sz w:val="18"/>
        </w:rPr>
        <w:t xml:space="preserve">    impact_score, impact_rating,</w:t>
      </w:r>
    </w:p>
    <w:p>
      <w:pPr>
        <w:ind w:left="720"/>
      </w:pPr>
      <w:r>
        <w:rPr>
          <w:rFonts w:ascii="Courier New" w:hAnsi="Courier New"/>
          <w:sz w:val="18"/>
        </w:rPr>
        <w:t xml:space="preserve">    impact_parameters: {...},</w:t>
      </w:r>
    </w:p>
    <w:p>
      <w:pPr>
        <w:ind w:left="720"/>
      </w:pPr>
      <w:r>
        <w:rPr>
          <w:rFonts w:ascii="Courier New" w:hAnsi="Courier New"/>
          <w:sz w:val="18"/>
        </w:rPr>
        <w:t xml:space="preserve">    inherent_risk_score, inherent_risk_rating</w:t>
      </w:r>
    </w:p>
    <w:p>
      <w:pPr>
        <w:ind w:left="720"/>
      </w:pPr>
      <w:r>
        <w:rPr>
          <w:rFonts w:ascii="Courier New" w:hAnsi="Courier New"/>
          <w:sz w:val="18"/>
        </w:rPr>
        <w:t xml:space="preserve">  },</w:t>
      </w:r>
    </w:p>
    <w:p>
      <w:pPr>
        <w:ind w:left="720"/>
      </w:pPr>
      <w:r>
        <w:rPr>
          <w:rFonts w:ascii="Courier New" w:hAnsi="Courier New"/>
          <w:sz w:val="18"/>
        </w:rPr>
        <w:t xml:space="preserve">  control_environment: {</w:t>
      </w:r>
    </w:p>
    <w:p>
      <w:pPr>
        <w:ind w:left="720"/>
      </w:pPr>
      <w:r>
        <w:rPr>
          <w:rFonts w:ascii="Courier New" w:hAnsi="Courier New"/>
          <w:sz w:val="18"/>
        </w:rPr>
        <w:t xml:space="preserve">    cqi_score, cpi_score, cer_score, cer_rating,</w:t>
      </w:r>
    </w:p>
    <w:p>
      <w:pPr>
        <w:ind w:left="720"/>
      </w:pPr>
      <w:r>
        <w:rPr>
          <w:rFonts w:ascii="Courier New" w:hAnsi="Courier New"/>
          <w:sz w:val="18"/>
        </w:rPr>
        <w:t xml:space="preserve">    control_quality_distribution: {...},</w:t>
      </w:r>
    </w:p>
    <w:p>
      <w:pPr>
        <w:ind w:left="720"/>
      </w:pPr>
      <w:r>
        <w:rPr>
          <w:rFonts w:ascii="Courier New" w:hAnsi="Courier New"/>
          <w:sz w:val="18"/>
        </w:rPr>
        <w:t xml:space="preserve">    control_performance_distribution: {...}</w:t>
      </w:r>
    </w:p>
    <w:p>
      <w:pPr>
        <w:ind w:left="720"/>
      </w:pPr>
      <w:r>
        <w:rPr>
          <w:rFonts w:ascii="Courier New" w:hAnsi="Courier New"/>
          <w:sz w:val="18"/>
        </w:rPr>
        <w:t xml:space="preserve">  },</w:t>
      </w:r>
    </w:p>
    <w:p>
      <w:pPr>
        <w:ind w:left="720"/>
      </w:pPr>
      <w:r>
        <w:rPr>
          <w:rFonts w:ascii="Courier New" w:hAnsi="Courier New"/>
          <w:sz w:val="18"/>
        </w:rPr>
        <w:t xml:space="preserve">  residual_risk: {</w:t>
      </w:r>
    </w:p>
    <w:p>
      <w:pPr>
        <w:ind w:left="720"/>
      </w:pPr>
      <w:r>
        <w:rPr>
          <w:rFonts w:ascii="Courier New" w:hAnsi="Courier New"/>
          <w:sz w:val="18"/>
        </w:rPr>
        <w:t xml:space="preserve">    residual_risk_score, residual_risk_rating,</w:t>
      </w:r>
    </w:p>
    <w:p>
      <w:pPr>
        <w:ind w:left="720"/>
      </w:pPr>
      <w:r>
        <w:rPr>
          <w:rFonts w:ascii="Courier New" w:hAnsi="Courier New"/>
          <w:sz w:val="18"/>
        </w:rPr>
        <w:t xml:space="preserve">    previous_period_score, change_pct</w:t>
      </w:r>
    </w:p>
    <w:p>
      <w:pPr>
        <w:ind w:left="720"/>
      </w:pPr>
      <w:r>
        <w:rPr>
          <w:rFonts w:ascii="Courier New" w:hAnsi="Courier New"/>
          <w:sz w:val="18"/>
        </w:rPr>
        <w:t xml:space="preserve">  },</w:t>
      </w:r>
    </w:p>
    <w:p>
      <w:pPr>
        <w:ind w:left="720"/>
      </w:pPr>
      <w:r>
        <w:rPr>
          <w:rFonts w:ascii="Courier New" w:hAnsi="Courier New"/>
          <w:sz w:val="18"/>
        </w:rPr>
        <w:t xml:space="preserve">  obligations: [...]</w:t>
      </w:r>
    </w:p>
    <w:p>
      <w:pPr>
        <w:ind w:left="720"/>
      </w:pPr>
      <w:r>
        <w:rPr>
          <w:rFonts w:ascii="Courier New" w:hAnsi="Courier New"/>
          <w:sz w:val="18"/>
        </w:rPr>
        <w:t>}</w:t>
      </w:r>
    </w:p>
    <w:p>
      <w:pPr>
        <w:pStyle w:val="Heading2"/>
        <w:spacing w:before="200" w:after="120"/>
      </w:pPr>
      <w:r>
        <w:t>8.3 Risk Assessment APIs</w:t>
      </w:r>
    </w:p>
    <w:p>
      <w:pPr>
        <w:spacing w:after="120"/>
      </w:pPr>
      <w:r>
        <w:t>Get Inherent Risk:</w:t>
      </w:r>
    </w:p>
    <w:p>
      <w:pPr>
        <w:ind w:left="720"/>
      </w:pPr>
      <w:r>
        <w:rPr>
          <w:rFonts w:ascii="Courier New" w:hAnsi="Courier New"/>
          <w:sz w:val="18"/>
        </w:rPr>
        <w:t>GET /api/inherent-risk</w:t>
      </w:r>
    </w:p>
    <w:p>
      <w:pPr>
        <w:ind w:left="720"/>
      </w:pPr>
      <w:r>
        <w:rPr>
          <w:rFonts w:ascii="Courier New" w:hAnsi="Courier New"/>
          <w:sz w:val="18"/>
        </w:rPr>
        <w:t>Query Parameters: ?au_id={au_id}&amp;period_id={period_id}</w:t>
      </w:r>
    </w:p>
    <w:p>
      <w:pPr>
        <w:spacing w:after="120"/>
      </w:pPr>
    </w:p>
    <w:p>
      <w:pPr>
        <w:spacing w:after="120"/>
      </w:pPr>
      <w:r>
        <w:t>Calculate Inherent Risk:</w:t>
      </w:r>
    </w:p>
    <w:p>
      <w:pPr>
        <w:ind w:left="720"/>
      </w:pPr>
      <w:r>
        <w:rPr>
          <w:rFonts w:ascii="Courier New" w:hAnsi="Courier New"/>
          <w:sz w:val="18"/>
        </w:rPr>
        <w:t>POST /api/inherent-risk/calculate</w:t>
      </w:r>
    </w:p>
    <w:p>
      <w:pPr>
        <w:ind w:left="720"/>
      </w:pPr>
      <w:r>
        <w:rPr>
          <w:rFonts w:ascii="Courier New" w:hAnsi="Courier New"/>
          <w:sz w:val="18"/>
        </w:rPr>
        <w:t>Request:</w:t>
      </w:r>
    </w:p>
    <w:p>
      <w:pPr>
        <w:ind w:left="720"/>
      </w:pPr>
      <w:r>
        <w:rPr>
          <w:rFonts w:ascii="Courier New" w:hAnsi="Courier New"/>
          <w:sz w:val="18"/>
        </w:rPr>
        <w:t>{</w:t>
      </w:r>
    </w:p>
    <w:p>
      <w:pPr>
        <w:ind w:left="720"/>
      </w:pPr>
      <w:r>
        <w:rPr>
          <w:rFonts w:ascii="Courier New" w:hAnsi="Courier New"/>
          <w:sz w:val="18"/>
        </w:rPr>
        <w:t xml:space="preserve">  au_id, period_id,</w:t>
      </w:r>
    </w:p>
    <w:p>
      <w:pPr>
        <w:ind w:left="720"/>
      </w:pPr>
      <w:r>
        <w:rPr>
          <w:rFonts w:ascii="Courier New" w:hAnsi="Courier New"/>
          <w:sz w:val="18"/>
        </w:rPr>
        <w:t xml:space="preserve">  likelihood_parameters: { volume_growth, complexity, ... },</w:t>
      </w:r>
    </w:p>
    <w:p>
      <w:pPr>
        <w:ind w:left="720"/>
      </w:pPr>
      <w:r>
        <w:rPr>
          <w:rFonts w:ascii="Courier New" w:hAnsi="Courier New"/>
          <w:sz w:val="18"/>
        </w:rPr>
        <w:t xml:space="preserve">  impact_parameters: { business_impact, reputational_impact, ... }</w:t>
      </w:r>
    </w:p>
    <w:p>
      <w:pPr>
        <w:ind w:left="720"/>
      </w:pPr>
      <w:r>
        <w:rPr>
          <w:rFonts w:ascii="Courier New" w:hAnsi="Courier New"/>
          <w:sz w:val="18"/>
        </w:rPr>
        <w:t>}</w:t>
      </w:r>
    </w:p>
    <w:p>
      <w:pPr>
        <w:ind w:left="720"/>
      </w:pPr>
      <w:r>
        <w:rPr>
          <w:rFonts w:ascii="Courier New" w:hAnsi="Courier New"/>
          <w:sz w:val="18"/>
        </w:rPr>
        <w:t>Response: { inherent_risk_score, inherent_risk_rating }</w:t>
      </w:r>
    </w:p>
    <w:p>
      <w:pPr>
        <w:spacing w:after="120"/>
      </w:pPr>
    </w:p>
    <w:p>
      <w:pPr>
        <w:spacing w:after="120"/>
      </w:pPr>
      <w:r>
        <w:t>Get Residual Risk:</w:t>
      </w:r>
    </w:p>
    <w:p>
      <w:pPr>
        <w:ind w:left="720"/>
      </w:pPr>
      <w:r>
        <w:rPr>
          <w:rFonts w:ascii="Courier New" w:hAnsi="Courier New"/>
          <w:sz w:val="18"/>
        </w:rPr>
        <w:t>GET /api/residual-risk</w:t>
      </w:r>
    </w:p>
    <w:p>
      <w:pPr>
        <w:ind w:left="720"/>
      </w:pPr>
      <w:r>
        <w:rPr>
          <w:rFonts w:ascii="Courier New" w:hAnsi="Courier New"/>
          <w:sz w:val="18"/>
        </w:rPr>
        <w:t>Query Parameters: ?au_id={au_id}&amp;period_id={period_id}</w:t>
      </w:r>
    </w:p>
    <w:p>
      <w:pPr>
        <w:pStyle w:val="Heading2"/>
        <w:spacing w:before="200" w:after="120"/>
      </w:pPr>
      <w:r>
        <w:t>8.4 Control APIs</w:t>
      </w:r>
    </w:p>
    <w:p>
      <w:pPr>
        <w:ind w:left="720"/>
      </w:pPr>
      <w:r>
        <w:rPr>
          <w:rFonts w:ascii="Courier New" w:hAnsi="Courier New"/>
          <w:sz w:val="18"/>
        </w:rPr>
        <w:t>GET /api/controls</w:t>
      </w:r>
    </w:p>
    <w:p>
      <w:pPr>
        <w:ind w:left="720"/>
      </w:pPr>
      <w:r>
        <w:rPr>
          <w:rFonts w:ascii="Courier New" w:hAnsi="Courier New"/>
          <w:sz w:val="18"/>
        </w:rPr>
        <w:t>Query Parameters: ?au_id={au_id}&amp;obligation_id={obligation_id}</w:t>
      </w:r>
    </w:p>
    <w:p>
      <w:pPr>
        <w:spacing w:after="120"/>
      </w:pPr>
    </w:p>
    <w:p>
      <w:pPr>
        <w:ind w:left="720"/>
      </w:pPr>
      <w:r>
        <w:rPr>
          <w:rFonts w:ascii="Courier New" w:hAnsi="Courier New"/>
          <w:sz w:val="18"/>
        </w:rPr>
        <w:t>GET /api/controls/{control_id}/quality</w:t>
      </w:r>
    </w:p>
    <w:p>
      <w:pPr>
        <w:ind w:left="720"/>
      </w:pPr>
      <w:r>
        <w:rPr>
          <w:rFonts w:ascii="Courier New" w:hAnsi="Courier New"/>
          <w:sz w:val="18"/>
        </w:rPr>
        <w:t>Response: Control quality assessment details</w:t>
      </w:r>
    </w:p>
    <w:p>
      <w:pPr>
        <w:spacing w:after="120"/>
      </w:pPr>
    </w:p>
    <w:p>
      <w:pPr>
        <w:ind w:left="720"/>
      </w:pPr>
      <w:r>
        <w:rPr>
          <w:rFonts w:ascii="Courier New" w:hAnsi="Courier New"/>
          <w:sz w:val="18"/>
        </w:rPr>
        <w:t>GET /api/controls/{control_id}/performance</w:t>
      </w:r>
    </w:p>
    <w:p>
      <w:pPr>
        <w:ind w:left="720"/>
      </w:pPr>
      <w:r>
        <w:rPr>
          <w:rFonts w:ascii="Courier New" w:hAnsi="Courier New"/>
          <w:sz w:val="18"/>
        </w:rPr>
        <w:t>Response: Control performance assessment details</w:t>
      </w:r>
    </w:p>
    <w:p>
      <w:pPr>
        <w:pStyle w:val="Heading2"/>
        <w:spacing w:before="200" w:after="120"/>
      </w:pPr>
      <w:r>
        <w:t>8.5 Comparison APIs</w:t>
      </w:r>
    </w:p>
    <w:p>
      <w:pPr>
        <w:ind w:left="720"/>
      </w:pPr>
      <w:r>
        <w:rPr>
          <w:rFonts w:ascii="Courier New" w:hAnsi="Courier New"/>
          <w:sz w:val="18"/>
        </w:rPr>
        <w:t>GET /api/comparison/year-over-year</w:t>
      </w:r>
    </w:p>
    <w:p>
      <w:pPr>
        <w:ind w:left="720"/>
      </w:pPr>
      <w:r>
        <w:rPr>
          <w:rFonts w:ascii="Courier New" w:hAnsi="Courier New"/>
          <w:sz w:val="18"/>
        </w:rPr>
        <w:t>Query Parameters: ?au_id={au_id}&amp;current_period={id}&amp;previous_period={id}</w:t>
      </w:r>
    </w:p>
    <w:p>
      <w:pPr>
        <w:spacing w:after="120"/>
      </w:pPr>
    </w:p>
    <w:p>
      <w:pPr>
        <w:ind w:left="720"/>
      </w:pPr>
      <w:r>
        <w:rPr>
          <w:rFonts w:ascii="Courier New" w:hAnsi="Courier New"/>
          <w:sz w:val="18"/>
        </w:rPr>
        <w:t>GET /api/comparison/before-after-control</w:t>
      </w:r>
    </w:p>
    <w:p>
      <w:pPr>
        <w:ind w:left="720"/>
      </w:pPr>
      <w:r>
        <w:rPr>
          <w:rFonts w:ascii="Courier New" w:hAnsi="Courier New"/>
          <w:sz w:val="18"/>
        </w:rPr>
        <w:t>Query Parameters: ?au_id={au_id}&amp;control_id={control_id}</w:t>
      </w:r>
    </w:p>
    <w:p>
      <w:pPr>
        <w:pStyle w:val="Heading2"/>
        <w:spacing w:before="200" w:after="120"/>
      </w:pPr>
      <w:r>
        <w:t>8.6 Regulatory Compliance APIs</w:t>
      </w:r>
    </w:p>
    <w:p>
      <w:pPr>
        <w:ind w:left="720"/>
      </w:pPr>
      <w:r>
        <w:rPr>
          <w:rFonts w:ascii="Courier New" w:hAnsi="Courier New"/>
          <w:sz w:val="18"/>
        </w:rPr>
        <w:t>GET /api/compliance/rbi-status</w:t>
      </w:r>
    </w:p>
    <w:p>
      <w:pPr>
        <w:ind w:left="720"/>
      </w:pPr>
      <w:r>
        <w:rPr>
          <w:rFonts w:ascii="Courier New" w:hAnsi="Courier New"/>
          <w:sz w:val="18"/>
        </w:rPr>
        <w:t>Query Parameters: ?period_id={period_id}</w:t>
      </w:r>
    </w:p>
    <w:p>
      <w:pPr>
        <w:ind w:left="720"/>
      </w:pPr>
      <w:r>
        <w:rPr>
          <w:rFonts w:ascii="Courier New" w:hAnsi="Courier New"/>
          <w:sz w:val="18"/>
        </w:rPr>
        <w:t>Response:</w:t>
      </w:r>
    </w:p>
    <w:p>
      <w:pPr>
        <w:ind w:left="720"/>
      </w:pPr>
      <w:r>
        <w:rPr>
          <w:rFonts w:ascii="Courier New" w:hAnsi="Courier New"/>
          <w:sz w:val="18"/>
        </w:rPr>
        <w:t>{</w:t>
      </w:r>
    </w:p>
    <w:p>
      <w:pPr>
        <w:ind w:left="720"/>
      </w:pPr>
      <w:r>
        <w:rPr>
          <w:rFonts w:ascii="Courier New" w:hAnsi="Courier New"/>
          <w:sz w:val="18"/>
        </w:rPr>
        <w:t xml:space="preserve">  overall_compliance_score: 94.5,</w:t>
      </w:r>
    </w:p>
    <w:p>
      <w:pPr>
        <w:ind w:left="720"/>
      </w:pPr>
      <w:r>
        <w:rPr>
          <w:rFonts w:ascii="Courier New" w:hAnsi="Courier New"/>
          <w:sz w:val="18"/>
        </w:rPr>
        <w:t xml:space="preserve">  regulatory_returns: [</w:t>
      </w:r>
    </w:p>
    <w:p>
      <w:pPr>
        <w:ind w:left="720"/>
      </w:pPr>
      <w:r>
        <w:rPr>
          <w:rFonts w:ascii="Courier New" w:hAnsi="Courier New"/>
          <w:sz w:val="18"/>
        </w:rPr>
        <w:t xml:space="preserve">    { return_name: 'DSB', status: 'Submitted', due_date, submitted_date },</w:t>
      </w:r>
    </w:p>
    <w:p>
      <w:pPr>
        <w:ind w:left="720"/>
      </w:pPr>
      <w:r>
        <w:rPr>
          <w:rFonts w:ascii="Courier New" w:hAnsi="Courier New"/>
          <w:sz w:val="18"/>
        </w:rPr>
        <w:t xml:space="preserve">    ...</w:t>
      </w:r>
    </w:p>
    <w:p>
      <w:pPr>
        <w:ind w:left="720"/>
      </w:pPr>
      <w:r>
        <w:rPr>
          <w:rFonts w:ascii="Courier New" w:hAnsi="Courier New"/>
          <w:sz w:val="18"/>
        </w:rPr>
        <w:t xml:space="preserve">  ],</w:t>
      </w:r>
    </w:p>
    <w:p>
      <w:pPr>
        <w:ind w:left="720"/>
      </w:pPr>
      <w:r>
        <w:rPr>
          <w:rFonts w:ascii="Courier New" w:hAnsi="Courier New"/>
          <w:sz w:val="18"/>
        </w:rPr>
        <w:t xml:space="preserve">  recent_breaches: [...],</w:t>
      </w:r>
    </w:p>
    <w:p>
      <w:pPr>
        <w:ind w:left="720"/>
      </w:pPr>
      <w:r>
        <w:rPr>
          <w:rFonts w:ascii="Courier New" w:hAnsi="Courier New"/>
          <w:sz w:val="18"/>
        </w:rPr>
        <w:t xml:space="preserve">  upcoming_deadlines: [...]</w:t>
      </w:r>
    </w:p>
    <w:p>
      <w:pPr>
        <w:ind w:left="720"/>
      </w:pPr>
      <w:r>
        <w:rPr>
          <w:rFonts w:ascii="Courier New" w:hAnsi="Courier New"/>
          <w:sz w:val="18"/>
        </w:rPr>
        <w:t>}</w:t>
      </w:r>
    </w:p>
    <w:p>
      <w:r>
        <w:br w:type="page"/>
      </w:r>
    </w:p>
    <w:p>
      <w:pPr>
        <w:pStyle w:val="Heading1"/>
        <w:spacing w:before="280" w:after="120"/>
      </w:pPr>
      <w:r>
        <w:t>9. User Stories &amp; Use Cases</w:t>
      </w:r>
    </w:p>
    <w:p>
      <w:pPr>
        <w:spacing w:after="120"/>
      </w:pPr>
      <w:r>
        <w:t>This section details the three priority business scenarios to be demonstrated.</w:t>
      </w:r>
    </w:p>
    <w:p>
      <w:pPr>
        <w:pStyle w:val="Heading2"/>
        <w:spacing w:before="200" w:after="120"/>
      </w:pPr>
      <w:r>
        <w:t>9.1 Scenario 1: Audit Finding Remediation</w:t>
      </w:r>
    </w:p>
    <w:p>
      <w:pPr>
        <w:spacing w:after="120"/>
      </w:pPr>
      <w:r>
        <w:t>User Story:</w:t>
      </w:r>
    </w:p>
    <w:p>
      <w:pPr>
        <w:spacing w:after="120"/>
      </w:pPr>
      <w:r>
        <w:t>As a Head of Compliance, I want to track and remediate audit findings systematically so that we can reduce residual risk and demonstrate control improvements to auditors.</w:t>
      </w:r>
    </w:p>
    <w:p>
      <w:pPr>
        <w:spacing w:after="120"/>
      </w:pPr>
    </w:p>
    <w:p>
      <w:pPr>
        <w:spacing w:after="120"/>
      </w:pPr>
      <w:r>
        <w:t>Background:</w:t>
      </w:r>
    </w:p>
    <w:p>
      <w:pPr>
        <w:pStyle w:val="ListBullet"/>
      </w:pPr>
      <w:r>
        <w:t>Internal Audit has identified a control deficiency in the Trade Finance AU</w:t>
      </w:r>
    </w:p>
    <w:p>
      <w:pPr>
        <w:pStyle w:val="ListBullet"/>
      </w:pPr>
      <w:r>
        <w:t>The finding indicates inadequate maker-checker controls for LC issuance</w:t>
      </w:r>
    </w:p>
    <w:p>
      <w:pPr>
        <w:pStyle w:val="ListBullet"/>
      </w:pPr>
      <w:r>
        <w:t>Audit rating: Needs Improvement</w:t>
      </w:r>
    </w:p>
    <w:p>
      <w:pPr>
        <w:pStyle w:val="ListBullet"/>
      </w:pPr>
      <w:r>
        <w:t>Required remediation within 90 days</w:t>
      </w:r>
    </w:p>
    <w:p>
      <w:pPr>
        <w:spacing w:after="120"/>
      </w:pPr>
    </w:p>
    <w:p>
      <w:pPr>
        <w:spacing w:after="120"/>
      </w:pPr>
      <w:r>
        <w:t>Demo Flow:</w:t>
      </w:r>
    </w:p>
    <w:p>
      <w:pPr>
        <w:pStyle w:val="ListNumber"/>
      </w:pPr>
      <w:r>
        <w:t>Start at Executive Dashboard showing Trade Finance AU with High residual risk (red indicator)</w:t>
      </w:r>
    </w:p>
    <w:p>
      <w:pPr>
        <w:pStyle w:val="ListNumber"/>
      </w:pPr>
      <w:r>
        <w:t>Drill down to Trade Finance AU detail view</w:t>
      </w:r>
    </w:p>
    <w:p>
      <w:pPr>
        <w:pStyle w:val="ListNumber"/>
      </w:pPr>
      <w:r>
        <w:t>Show Inherent Risk assessment (score: 300, rating: Very High)</w:t>
      </w:r>
    </w:p>
    <w:p>
      <w:pPr>
        <w:pStyle w:val="ListNumber"/>
      </w:pPr>
      <w:r>
        <w:t>Display Control Environment section with low CQI score (40%) due to control deficiency</w:t>
      </w:r>
    </w:p>
    <w:p>
      <w:pPr>
        <w:pStyle w:val="ListNumber"/>
      </w:pPr>
      <w:r>
        <w:t>Navigate to specific obligation: 'RBI Master Direction on Trade Finance - LC Issuance'</w:t>
      </w:r>
    </w:p>
    <w:p>
      <w:pPr>
        <w:pStyle w:val="ListNumber"/>
      </w:pPr>
      <w:r>
        <w:t>Show the deficient control with low quality rating (Significant Improvement Needed)</w:t>
      </w:r>
    </w:p>
    <w:p>
      <w:pPr>
        <w:pStyle w:val="ListNumber"/>
      </w:pPr>
      <w:r>
        <w:t>Switch to 'Before/After' comparison view</w:t>
      </w:r>
    </w:p>
    <w:p>
      <w:pPr>
        <w:pStyle w:val="ListNumber"/>
      </w:pPr>
      <w:r>
        <w:t>Demonstrate the control improvement plan:</w:t>
      </w:r>
    </w:p>
    <w:p>
      <w:pPr>
        <w:pStyle w:val="ListBullet"/>
        <w:ind w:left="720"/>
      </w:pPr>
      <w:r>
        <w:t>Before: Manual process, no maker-checker (Control Quality score: 1)</w:t>
      </w:r>
    </w:p>
    <w:p>
      <w:pPr>
        <w:pStyle w:val="ListBullet"/>
        <w:ind w:left="720"/>
      </w:pPr>
      <w:r>
        <w:t>After: Automated maker-checker implemented (Control Quality score: 25)</w:t>
      </w:r>
    </w:p>
    <w:p>
      <w:pPr>
        <w:pStyle w:val="ListNumber"/>
      </w:pPr>
      <w:r>
        <w:t>Show impact on metrics:</w:t>
      </w:r>
    </w:p>
    <w:p>
      <w:pPr>
        <w:pStyle w:val="ListBullet"/>
        <w:ind w:left="720"/>
      </w:pPr>
      <w:r>
        <w:t>CQI improved from 40% to 75%</w:t>
      </w:r>
    </w:p>
    <w:p>
      <w:pPr>
        <w:pStyle w:val="ListBullet"/>
        <w:ind w:left="720"/>
      </w:pPr>
      <w:r>
        <w:t>Residual Risk reduced from 300 to 120 (High to Minor)</w:t>
      </w:r>
    </w:p>
    <w:p>
      <w:pPr>
        <w:pStyle w:val="ListBullet"/>
        <w:ind w:left="720"/>
      </w:pPr>
      <w:r>
        <w:t>AU status changed from Red to Yellow</w:t>
      </w:r>
    </w:p>
    <w:p>
      <w:pPr>
        <w:pStyle w:val="ListNumber"/>
      </w:pPr>
      <w:r>
        <w:t>Display audit trail showing remediation steps and timeline</w:t>
      </w:r>
    </w:p>
    <w:p>
      <w:pPr>
        <w:pStyle w:val="ListNumber"/>
      </w:pPr>
      <w:r>
        <w:t>Show early warning indicator no longer flagging this AU</w:t>
      </w:r>
    </w:p>
    <w:p>
      <w:pPr>
        <w:spacing w:after="120"/>
      </w:pPr>
    </w:p>
    <w:p>
      <w:pPr>
        <w:spacing w:after="120"/>
      </w:pPr>
      <w:r>
        <w:t>Acceptance Criteria:</w:t>
      </w:r>
    </w:p>
    <w:p>
      <w:pPr>
        <w:pStyle w:val="ListBullet"/>
      </w:pPr>
      <w:r>
        <w:t>User can drill down from Enterprise → Trade Finance AU → LC Obligation → specific control</w:t>
      </w:r>
    </w:p>
    <w:p>
      <w:pPr>
        <w:pStyle w:val="ListBullet"/>
      </w:pPr>
      <w:r>
        <w:t>Before/After comparison clearly shows improvement in control quality and residual risk</w:t>
      </w:r>
    </w:p>
    <w:p>
      <w:pPr>
        <w:pStyle w:val="ListBullet"/>
      </w:pPr>
      <w:r>
        <w:t>All calculations automatically update based on control enhancement</w:t>
      </w:r>
    </w:p>
    <w:p>
      <w:pPr>
        <w:pStyle w:val="ListBullet"/>
      </w:pPr>
      <w:r>
        <w:t>Visual indicators (colors) change appropriately with risk reduction</w:t>
      </w:r>
    </w:p>
    <w:p>
      <w:pPr>
        <w:pStyle w:val="Heading2"/>
        <w:spacing w:before="200" w:after="120"/>
      </w:pPr>
      <w:r>
        <w:t>9.2 Scenario 2: Control Failure Investigation</w:t>
      </w:r>
    </w:p>
    <w:p>
      <w:pPr>
        <w:spacing w:after="120"/>
      </w:pPr>
      <w:r>
        <w:t>User Story:</w:t>
      </w:r>
    </w:p>
    <w:p>
      <w:pPr>
        <w:spacing w:after="120"/>
      </w:pPr>
      <w:r>
        <w:t>As a Head of Operational Risk, I need to investigate control failures to identify root causes and prevent recurrence across similar controls bank-wide.</w:t>
      </w:r>
    </w:p>
    <w:p>
      <w:pPr>
        <w:spacing w:after="120"/>
      </w:pPr>
    </w:p>
    <w:p>
      <w:pPr>
        <w:spacing w:after="120"/>
      </w:pPr>
      <w:r>
        <w:t>Background:</w:t>
      </w:r>
    </w:p>
    <w:p>
      <w:pPr>
        <w:pStyle w:val="ListBullet"/>
      </w:pPr>
      <w:r>
        <w:t>KCI monitoring has flagged a control failure in Retail Liabilities AU</w:t>
      </w:r>
    </w:p>
    <w:p>
      <w:pPr>
        <w:pStyle w:val="ListBullet"/>
      </w:pPr>
      <w:r>
        <w:t>The failed control: Daily reconciliation of cash balances</w:t>
      </w:r>
    </w:p>
    <w:p>
      <w:pPr>
        <w:pStyle w:val="ListBullet"/>
      </w:pPr>
      <w:r>
        <w:t>3 failures in past month, triggering early warning indicator</w:t>
      </w:r>
    </w:p>
    <w:p>
      <w:pPr>
        <w:pStyle w:val="ListBullet"/>
      </w:pPr>
      <w:r>
        <w:t>Need to investigate and remediate immediately</w:t>
      </w:r>
    </w:p>
    <w:p>
      <w:pPr>
        <w:spacing w:after="120"/>
      </w:pPr>
    </w:p>
    <w:p>
      <w:pPr>
        <w:spacing w:after="120"/>
      </w:pPr>
      <w:r>
        <w:t>Demo Flow:</w:t>
      </w:r>
    </w:p>
    <w:p>
      <w:pPr>
        <w:pStyle w:val="ListNumber"/>
      </w:pPr>
      <w:r>
        <w:t>Executive Dashboard shows early warning indicator for Retail Liabilities</w:t>
      </w:r>
    </w:p>
    <w:p>
      <w:pPr>
        <w:pStyle w:val="ListNumber"/>
      </w:pPr>
      <w:r>
        <w:t>Click on early warning alert icon</w:t>
      </w:r>
    </w:p>
    <w:p>
      <w:pPr>
        <w:pStyle w:val="ListNumber"/>
      </w:pPr>
      <w:r>
        <w:t>System highlights Retail Liabilities AU with deteriorating trend (amber alert)</w:t>
      </w:r>
    </w:p>
    <w:p>
      <w:pPr>
        <w:pStyle w:val="ListNumber"/>
      </w:pPr>
      <w:r>
        <w:t>Drill to Retail Liabilities AU detail view</w:t>
      </w:r>
    </w:p>
    <w:p>
      <w:pPr>
        <w:pStyle w:val="ListNumber"/>
      </w:pPr>
      <w:r>
        <w:t>Navigate to Controls section, filter by 'Recent Failures'</w:t>
      </w:r>
    </w:p>
    <w:p>
      <w:pPr>
        <w:pStyle w:val="ListNumber"/>
      </w:pPr>
      <w:r>
        <w:t>Select failed control: 'Daily Cash Reconciliation'</w:t>
      </w:r>
    </w:p>
    <w:p>
      <w:pPr>
        <w:pStyle w:val="ListNumber"/>
      </w:pPr>
      <w:r>
        <w:t>Show Control Performance Assessment:</w:t>
      </w:r>
    </w:p>
    <w:p>
      <w:pPr>
        <w:pStyle w:val="ListBullet"/>
        <w:ind w:left="720"/>
      </w:pPr>
      <w:r>
        <w:t>KCI Monitoring: 3 failures in last month (Fail status)</w:t>
      </w:r>
    </w:p>
    <w:p>
      <w:pPr>
        <w:pStyle w:val="ListBullet"/>
        <w:ind w:left="720"/>
      </w:pPr>
      <w:r>
        <w:t>Control Testing Result: Fail</w:t>
      </w:r>
    </w:p>
    <w:p>
      <w:pPr>
        <w:pStyle w:val="ListBullet"/>
        <w:ind w:left="720"/>
      </w:pPr>
      <w:r>
        <w:t>CPA score degraded from 25 to 5</w:t>
      </w:r>
    </w:p>
    <w:p>
      <w:pPr>
        <w:pStyle w:val="ListBullet"/>
        <w:ind w:left="720"/>
      </w:pPr>
      <w:r>
        <w:t>Control Performance Category: Significant Improvement Needed</w:t>
      </w:r>
    </w:p>
    <w:p>
      <w:pPr>
        <w:pStyle w:val="ListNumber"/>
      </w:pPr>
      <w:r>
        <w:t>Display trend chart showing degradation over 3 months</w:t>
      </w:r>
    </w:p>
    <w:p>
      <w:pPr>
        <w:pStyle w:val="ListNumber"/>
      </w:pPr>
      <w:r>
        <w:t>Show impact on AU-level metrics:</w:t>
      </w:r>
    </w:p>
    <w:p>
      <w:pPr>
        <w:pStyle w:val="ListBullet"/>
        <w:ind w:left="720"/>
      </w:pPr>
      <w:r>
        <w:t>CPI decreased from 80% to 55%</w:t>
      </w:r>
    </w:p>
    <w:p>
      <w:pPr>
        <w:pStyle w:val="ListBullet"/>
        <w:ind w:left="720"/>
      </w:pPr>
      <w:r>
        <w:t>Residual Risk increased from 50 to 95 (Medium to High)</w:t>
      </w:r>
    </w:p>
    <w:p>
      <w:pPr>
        <w:pStyle w:val="ListNumber"/>
      </w:pPr>
      <w:r>
        <w:t>Demonstrate investigation steps:</w:t>
      </w:r>
    </w:p>
    <w:p>
      <w:pPr>
        <w:pStyle w:val="ListBullet"/>
        <w:ind w:left="720"/>
      </w:pPr>
      <w:r>
        <w:t>Review KCI failure details (dates, amounts, discrepancies)</w:t>
      </w:r>
    </w:p>
    <w:p>
      <w:pPr>
        <w:pStyle w:val="ListBullet"/>
        <w:ind w:left="720"/>
      </w:pPr>
      <w:r>
        <w:t>Identify pattern: Failures occur on month-end dates</w:t>
      </w:r>
    </w:p>
    <w:p>
      <w:pPr>
        <w:pStyle w:val="ListBullet"/>
        <w:ind w:left="720"/>
      </w:pPr>
      <w:r>
        <w:t>Root cause: System timeout during high volume</w:t>
      </w:r>
    </w:p>
    <w:p>
      <w:pPr>
        <w:pStyle w:val="ListNumber"/>
      </w:pPr>
      <w:r>
        <w:t>Show remediation plan:</w:t>
      </w:r>
    </w:p>
    <w:p>
      <w:pPr>
        <w:pStyle w:val="ListBullet"/>
        <w:ind w:left="720"/>
      </w:pPr>
      <w:r>
        <w:t>Increase system resources for month-end processing</w:t>
      </w:r>
    </w:p>
    <w:p>
      <w:pPr>
        <w:pStyle w:val="ListBullet"/>
        <w:ind w:left="720"/>
      </w:pPr>
      <w:r>
        <w:t>Implement automated alerts for reconciliation delays</w:t>
      </w:r>
    </w:p>
    <w:p>
      <w:pPr>
        <w:pStyle w:val="ListBullet"/>
        <w:ind w:left="720"/>
      </w:pPr>
      <w:r>
        <w:t>Add secondary review control</w:t>
      </w:r>
    </w:p>
    <w:p>
      <w:pPr>
        <w:pStyle w:val="ListNumber"/>
      </w:pPr>
      <w:r>
        <w:t>Simulate post-remediation state with improved CPI and reduced residual risk</w:t>
      </w:r>
    </w:p>
    <w:p>
      <w:pPr>
        <w:spacing w:after="120"/>
      </w:pPr>
    </w:p>
    <w:p>
      <w:pPr>
        <w:spacing w:after="120"/>
      </w:pPr>
      <w:r>
        <w:t>Acceptance Criteria:</w:t>
      </w:r>
    </w:p>
    <w:p>
      <w:pPr>
        <w:pStyle w:val="ListBullet"/>
      </w:pPr>
      <w:r>
        <w:t>Early warning indicators prominently display AUs with control degradation</w:t>
      </w:r>
    </w:p>
    <w:p>
      <w:pPr>
        <w:pStyle w:val="ListBullet"/>
      </w:pPr>
      <w:r>
        <w:t>User can filter controls by performance status</w:t>
      </w:r>
    </w:p>
    <w:p>
      <w:pPr>
        <w:pStyle w:val="ListBullet"/>
      </w:pPr>
      <w:r>
        <w:t>Trend analysis shows degradation pattern over time</w:t>
      </w:r>
    </w:p>
    <w:p>
      <w:pPr>
        <w:pStyle w:val="ListBullet"/>
      </w:pPr>
      <w:r>
        <w:t>System allows documentation of root cause and remediation plan</w:t>
      </w:r>
    </w:p>
    <w:p>
      <w:pPr>
        <w:pStyle w:val="ListBullet"/>
      </w:pPr>
      <w:r>
        <w:t>Simulated remediation shows projected improvement in metrics</w:t>
      </w:r>
    </w:p>
    <w:p>
      <w:pPr>
        <w:pStyle w:val="Heading2"/>
        <w:spacing w:before="200" w:after="120"/>
      </w:pPr>
      <w:r>
        <w:t>9.3 Scenario 3: New Regulation Impact Assessment</w:t>
      </w:r>
    </w:p>
    <w:p>
      <w:pPr>
        <w:spacing w:after="120"/>
      </w:pPr>
      <w:r>
        <w:t>User Story:</w:t>
      </w:r>
    </w:p>
    <w:p>
      <w:pPr>
        <w:spacing w:after="120"/>
      </w:pPr>
      <w:r>
        <w:t>As a Group Chief Compliance Officer, I need to assess the impact of new RBI regulations on our risk profile so that we can allocate resources and plan compliance activities effectively.</w:t>
      </w:r>
    </w:p>
    <w:p>
      <w:pPr>
        <w:spacing w:after="120"/>
      </w:pPr>
    </w:p>
    <w:p>
      <w:pPr>
        <w:spacing w:after="120"/>
      </w:pPr>
      <w:r>
        <w:t>Background:</w:t>
      </w:r>
    </w:p>
    <w:p>
      <w:pPr>
        <w:pStyle w:val="ListBullet"/>
      </w:pPr>
      <w:r>
        <w:t>RBI has issued new Master Direction on Digital Lending</w:t>
      </w:r>
    </w:p>
    <w:p>
      <w:pPr>
        <w:pStyle w:val="ListBullet"/>
      </w:pPr>
      <w:r>
        <w:t>Affects multiple AUs: Digital Banking, Cards, Retail Assets</w:t>
      </w:r>
    </w:p>
    <w:p>
      <w:pPr>
        <w:pStyle w:val="ListBullet"/>
      </w:pPr>
      <w:r>
        <w:t>New compliance obligations with 6-month implementation deadline</w:t>
      </w:r>
    </w:p>
    <w:p>
      <w:pPr>
        <w:pStyle w:val="ListBullet"/>
      </w:pPr>
      <w:r>
        <w:t>Need to assess impact on inherent risk and control requirements</w:t>
      </w:r>
    </w:p>
    <w:p>
      <w:pPr>
        <w:spacing w:after="120"/>
      </w:pPr>
    </w:p>
    <w:p>
      <w:pPr>
        <w:spacing w:after="120"/>
      </w:pPr>
      <w:r>
        <w:t>Demo Flow:</w:t>
      </w:r>
    </w:p>
    <w:p>
      <w:pPr>
        <w:pStyle w:val="ListNumber"/>
      </w:pPr>
      <w:r>
        <w:t>Start at Regulatory Compliance Dashboard</w:t>
      </w:r>
    </w:p>
    <w:p>
      <w:pPr>
        <w:pStyle w:val="ListNumber"/>
      </w:pPr>
      <w:r>
        <w:t>Show notification of new RBI Master Direction (highlighted in 'Recent Regulations')</w:t>
      </w:r>
    </w:p>
    <w:p>
      <w:pPr>
        <w:pStyle w:val="ListNumber"/>
      </w:pPr>
      <w:r>
        <w:t>Click to view regulation details:</w:t>
      </w:r>
    </w:p>
    <w:p>
      <w:pPr>
        <w:pStyle w:val="ListBullet"/>
        <w:ind w:left="720"/>
      </w:pPr>
      <w:r>
        <w:t>Regulation: RBI Master Direction on Digital Lending 2024</w:t>
      </w:r>
    </w:p>
    <w:p>
      <w:pPr>
        <w:pStyle w:val="ListBullet"/>
        <w:ind w:left="720"/>
      </w:pPr>
      <w:r>
        <w:t>Effective Date: [6 months from issue]</w:t>
      </w:r>
    </w:p>
    <w:p>
      <w:pPr>
        <w:pStyle w:val="ListBullet"/>
        <w:ind w:left="720"/>
      </w:pPr>
      <w:r>
        <w:t>Impacted AUs: 3 identified</w:t>
      </w:r>
    </w:p>
    <w:p>
      <w:pPr>
        <w:pStyle w:val="ListNumber"/>
      </w:pPr>
      <w:r>
        <w:t>Navigate to 'Impact Assessment' workflow</w:t>
      </w:r>
    </w:p>
    <w:p>
      <w:pPr>
        <w:pStyle w:val="ListNumber"/>
      </w:pPr>
      <w:r>
        <w:t>System displays list of affected AUs:</w:t>
      </w:r>
    </w:p>
    <w:p>
      <w:pPr>
        <w:pStyle w:val="ListBullet"/>
        <w:ind w:left="720"/>
      </w:pPr>
      <w:r>
        <w:t>Digital Banking - 5 new obligations</w:t>
      </w:r>
    </w:p>
    <w:p>
      <w:pPr>
        <w:pStyle w:val="ListBullet"/>
        <w:ind w:left="720"/>
      </w:pPr>
      <w:r>
        <w:t>Cards &amp; Payment Systems - 3 new obligations</w:t>
      </w:r>
    </w:p>
    <w:p>
      <w:pPr>
        <w:pStyle w:val="ListBullet"/>
        <w:ind w:left="720"/>
      </w:pPr>
      <w:r>
        <w:t>Retail Assets (Digital Loans) - 7 new obligations</w:t>
      </w:r>
    </w:p>
    <w:p>
      <w:pPr>
        <w:pStyle w:val="ListNumber"/>
      </w:pPr>
      <w:r>
        <w:t>Select Digital Banking AU for detailed assessment</w:t>
      </w:r>
    </w:p>
    <w:p>
      <w:pPr>
        <w:pStyle w:val="ListNumber"/>
      </w:pPr>
      <w:r>
        <w:t>Show new obligations being added:</w:t>
      </w:r>
    </w:p>
    <w:p>
      <w:pPr>
        <w:pStyle w:val="ListBullet"/>
        <w:ind w:left="720"/>
      </w:pPr>
      <w:r>
        <w:t>'Ensure board-approved digital lending policy'</w:t>
      </w:r>
    </w:p>
    <w:p>
      <w:pPr>
        <w:pStyle w:val="ListBullet"/>
        <w:ind w:left="720"/>
      </w:pPr>
      <w:r>
        <w:t>'Implement automated credit assessment system'</w:t>
      </w:r>
    </w:p>
    <w:p>
      <w:pPr>
        <w:pStyle w:val="ListBullet"/>
        <w:ind w:left="720"/>
      </w:pPr>
      <w:r>
        <w:t>'Conduct periodic third-party audits of LSPs'</w:t>
      </w:r>
    </w:p>
    <w:p>
      <w:pPr>
        <w:pStyle w:val="ListBullet"/>
        <w:ind w:left="720"/>
      </w:pPr>
      <w:r>
        <w:t>Etc.</w:t>
      </w:r>
    </w:p>
    <w:p>
      <w:pPr>
        <w:pStyle w:val="ListNumber"/>
      </w:pPr>
      <w:r>
        <w:t>Demonstrate Inherent Risk recalculation:</w:t>
      </w:r>
    </w:p>
    <w:p>
      <w:pPr>
        <w:pStyle w:val="ListBullet"/>
        <w:ind w:left="720"/>
      </w:pPr>
      <w:r>
        <w:t>Likelihood parameter updated: Regulatory Returns Count +5</w:t>
      </w:r>
    </w:p>
    <w:p>
      <w:pPr>
        <w:pStyle w:val="ListBullet"/>
        <w:ind w:left="720"/>
      </w:pPr>
      <w:r>
        <w:t>New inherent risk score calculated</w:t>
      </w:r>
    </w:p>
    <w:p>
      <w:pPr>
        <w:pStyle w:val="ListBullet"/>
        <w:ind w:left="720"/>
      </w:pPr>
      <w:r>
        <w:t>Potential risk increase if controls not implemented</w:t>
      </w:r>
    </w:p>
    <w:p>
      <w:pPr>
        <w:pStyle w:val="ListNumber"/>
      </w:pPr>
      <w:r>
        <w:t>Show 'What-If' scenario modeling:</w:t>
      </w:r>
    </w:p>
    <w:p>
      <w:pPr>
        <w:pStyle w:val="ListBullet"/>
        <w:ind w:left="720"/>
      </w:pPr>
      <w:r>
        <w:t>Scenario A: No new controls → Residual Risk increases to Very High</w:t>
      </w:r>
    </w:p>
    <w:p>
      <w:pPr>
        <w:pStyle w:val="ListBullet"/>
        <w:ind w:left="720"/>
      </w:pPr>
      <w:r>
        <w:t>Scenario B: Basic controls → Residual Risk stays at High</w:t>
      </w:r>
    </w:p>
    <w:p>
      <w:pPr>
        <w:pStyle w:val="ListBullet"/>
        <w:ind w:left="720"/>
      </w:pPr>
      <w:r>
        <w:t>Scenario C: Comprehensive controls → Residual Risk managed at Medium</w:t>
      </w:r>
    </w:p>
    <w:p>
      <w:pPr>
        <w:pStyle w:val="ListNumber"/>
      </w:pPr>
      <w:r>
        <w:t>Display recommended control framework:</w:t>
      </w:r>
    </w:p>
    <w:p>
      <w:pPr>
        <w:pStyle w:val="ListBullet"/>
        <w:ind w:left="720"/>
      </w:pPr>
      <w:r>
        <w:t>List of suggested controls to address new obligations</w:t>
      </w:r>
    </w:p>
    <w:p>
      <w:pPr>
        <w:pStyle w:val="ListBullet"/>
        <w:ind w:left="720"/>
      </w:pPr>
      <w:r>
        <w:t>Estimated implementation effort and timeline</w:t>
      </w:r>
    </w:p>
    <w:p>
      <w:pPr>
        <w:pStyle w:val="ListBullet"/>
        <w:ind w:left="720"/>
      </w:pPr>
      <w:r>
        <w:t>Resource requirements</w:t>
      </w:r>
    </w:p>
    <w:p>
      <w:pPr>
        <w:pStyle w:val="ListNumber"/>
      </w:pPr>
      <w:r>
        <w:t>Show aggregated enterprise view:</w:t>
      </w:r>
    </w:p>
    <w:p>
      <w:pPr>
        <w:pStyle w:val="ListBullet"/>
        <w:ind w:left="720"/>
      </w:pPr>
      <w:r>
        <w:t>Total new obligations across bank: 15</w:t>
      </w:r>
    </w:p>
    <w:p>
      <w:pPr>
        <w:pStyle w:val="ListBullet"/>
        <w:ind w:left="720"/>
      </w:pPr>
      <w:r>
        <w:t>Estimated implementation cost: [qualitative]</w:t>
      </w:r>
    </w:p>
    <w:p>
      <w:pPr>
        <w:pStyle w:val="ListBullet"/>
        <w:ind w:left="720"/>
      </w:pPr>
      <w:r>
        <w:t>Projected residual risk impact if fully implemented</w:t>
      </w:r>
    </w:p>
    <w:p>
      <w:pPr>
        <w:spacing w:after="120"/>
      </w:pPr>
    </w:p>
    <w:p>
      <w:pPr>
        <w:spacing w:after="120"/>
      </w:pPr>
      <w:r>
        <w:t>Acceptance Criteria:</w:t>
      </w:r>
    </w:p>
    <w:p>
      <w:pPr>
        <w:pStyle w:val="ListBullet"/>
      </w:pPr>
      <w:r>
        <w:t>New regulations can be easily added to system</w:t>
      </w:r>
    </w:p>
    <w:p>
      <w:pPr>
        <w:pStyle w:val="ListBullet"/>
      </w:pPr>
      <w:r>
        <w:t>System identifies impacted AUs based on business area mapping</w:t>
      </w:r>
    </w:p>
    <w:p>
      <w:pPr>
        <w:pStyle w:val="ListBullet"/>
      </w:pPr>
      <w:r>
        <w:t>Inherent risk automatically recalculates with new obligations</w:t>
      </w:r>
    </w:p>
    <w:p>
      <w:pPr>
        <w:pStyle w:val="ListBullet"/>
      </w:pPr>
      <w:r>
        <w:t>What-if scenario modeling shows different control implementation options</w:t>
      </w:r>
    </w:p>
    <w:p>
      <w:pPr>
        <w:pStyle w:val="ListBullet"/>
      </w:pPr>
      <w:r>
        <w:t>Enterprise-wide impact view aggregates all affected AUs</w:t>
      </w:r>
    </w:p>
    <w:p>
      <w:pPr>
        <w:pStyle w:val="ListBullet"/>
      </w:pPr>
      <w:r>
        <w:t>Recommended controls can be added to AU control framework</w:t>
      </w:r>
    </w:p>
    <w:p>
      <w:r>
        <w:br w:type="page"/>
      </w:r>
    </w:p>
    <w:p>
      <w:pPr>
        <w:pStyle w:val="Heading1"/>
        <w:spacing w:before="280" w:after="120"/>
      </w:pPr>
      <w:r>
        <w:t>10. Technical Architecture</w:t>
      </w:r>
    </w:p>
    <w:p>
      <w:pPr>
        <w:spacing w:after="120"/>
      </w:pPr>
      <w:r>
        <w:t>This section outlines the recommended technical architecture for the CRAF prototype.</w:t>
      </w:r>
    </w:p>
    <w:p>
      <w:pPr>
        <w:pStyle w:val="Heading2"/>
        <w:spacing w:before="200" w:after="120"/>
      </w:pPr>
      <w:r>
        <w:t>10.1 Architecture Overview</w:t>
      </w:r>
    </w:p>
    <w:p>
      <w:pPr>
        <w:spacing w:after="120"/>
      </w:pPr>
      <w:r>
        <w:t>Three-tier web application architecture:</w:t>
      </w:r>
    </w:p>
    <w:p>
      <w:pPr>
        <w:pStyle w:val="ListBullet"/>
      </w:pPr>
      <w:r>
        <w:t>Presentation Layer - Frontend</w:t>
      </w:r>
    </w:p>
    <w:p>
      <w:pPr>
        <w:pStyle w:val="ListBullet"/>
        <w:ind w:left="720"/>
      </w:pPr>
      <w:r>
        <w:t>Modern web interface using React.js or Vue.js</w:t>
      </w:r>
    </w:p>
    <w:p>
      <w:pPr>
        <w:pStyle w:val="ListBullet"/>
        <w:ind w:left="720"/>
      </w:pPr>
      <w:r>
        <w:t>Responsive design framework (Tailwind CSS or Bootstrap)</w:t>
      </w:r>
    </w:p>
    <w:p>
      <w:pPr>
        <w:pStyle w:val="ListBullet"/>
        <w:ind w:left="720"/>
      </w:pPr>
      <w:r>
        <w:t>Charting library: Chart.js or D3.js for visualizations</w:t>
      </w:r>
    </w:p>
    <w:p>
      <w:pPr>
        <w:pStyle w:val="ListBullet"/>
        <w:ind w:left="720"/>
      </w:pPr>
      <w:r>
        <w:t>State management: Redux or Vuex</w:t>
      </w:r>
    </w:p>
    <w:p>
      <w:pPr>
        <w:pStyle w:val="ListBullet"/>
      </w:pPr>
      <w:r>
        <w:t>Application Layer - Backend</w:t>
      </w:r>
    </w:p>
    <w:p>
      <w:pPr>
        <w:pStyle w:val="ListBullet"/>
        <w:ind w:left="720"/>
      </w:pPr>
      <w:r>
        <w:t>Node.js with Express.js framework OR Python with Flask/FastAPI</w:t>
      </w:r>
    </w:p>
    <w:p>
      <w:pPr>
        <w:pStyle w:val="ListBullet"/>
        <w:ind w:left="720"/>
      </w:pPr>
      <w:r>
        <w:t>RESTful API architecture</w:t>
      </w:r>
    </w:p>
    <w:p>
      <w:pPr>
        <w:pStyle w:val="ListBullet"/>
        <w:ind w:left="720"/>
      </w:pPr>
      <w:r>
        <w:t>Business logic layer for CRAF calculations</w:t>
      </w:r>
    </w:p>
    <w:p>
      <w:pPr>
        <w:pStyle w:val="ListBullet"/>
        <w:ind w:left="720"/>
      </w:pPr>
      <w:r>
        <w:t>Authentication middleware (JWT)</w:t>
      </w:r>
    </w:p>
    <w:p>
      <w:pPr>
        <w:pStyle w:val="ListBullet"/>
      </w:pPr>
      <w:r>
        <w:t>Data Layer</w:t>
      </w:r>
    </w:p>
    <w:p>
      <w:pPr>
        <w:pStyle w:val="ListBullet"/>
        <w:ind w:left="720"/>
      </w:pPr>
      <w:r>
        <w:t>Relational database: PostgreSQL or MySQL</w:t>
      </w:r>
    </w:p>
    <w:p>
      <w:pPr>
        <w:pStyle w:val="ListBullet"/>
        <w:ind w:left="720"/>
      </w:pPr>
      <w:r>
        <w:t>ORM: Sequelize (Node.js) or SQLAlchemy (Python)</w:t>
      </w:r>
    </w:p>
    <w:p>
      <w:pPr>
        <w:pStyle w:val="ListBullet"/>
        <w:ind w:left="720"/>
      </w:pPr>
      <w:r>
        <w:t>Database migrations for schema versioning</w:t>
      </w:r>
    </w:p>
    <w:p>
      <w:pPr>
        <w:pStyle w:val="Heading2"/>
        <w:spacing w:before="200" w:after="120"/>
      </w:pPr>
      <w:r>
        <w:t>10.2 Technology Stack Recommendation</w:t>
      </w:r>
    </w:p>
    <w:p>
      <w:pPr>
        <w:spacing w:after="120"/>
      </w:pPr>
      <w:r>
        <w:t>Recommended Stack: Modern JavaScript (MERN-like):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React.js + TypeScript</w:t>
            </w:r>
          </w:p>
        </w:tc>
        <w:tc>
          <w:tcPr>
            <w:tcW w:type="dxa" w:w="2880"/>
          </w:tcPr>
          <w:p>
            <w:r>
              <w:t>Component reusability, strong ecosystem, TypeScript for type safety</w:t>
            </w:r>
          </w:p>
        </w:tc>
      </w:tr>
      <w:tr>
        <w:tc>
          <w:tcPr>
            <w:tcW w:type="dxa" w:w="2880"/>
          </w:tcPr>
          <w:p>
            <w:r>
              <w:t>UI Framework</w:t>
            </w:r>
          </w:p>
        </w:tc>
        <w:tc>
          <w:tcPr>
            <w:tcW w:type="dxa" w:w="2880"/>
          </w:tcPr>
          <w:p>
            <w:r>
              <w:t>Tailwind CSS + Shadcn/ui</w:t>
            </w:r>
          </w:p>
        </w:tc>
        <w:tc>
          <w:tcPr>
            <w:tcW w:type="dxa" w:w="2880"/>
          </w:tcPr>
          <w:p>
            <w:r>
              <w:t>Rapid development, professional banking theme, accessibility</w:t>
            </w:r>
          </w:p>
        </w:tc>
      </w:tr>
      <w:tr>
        <w:tc>
          <w:tcPr>
            <w:tcW w:type="dxa" w:w="2880"/>
          </w:tcPr>
          <w:p>
            <w:r>
              <w:t>Charts</w:t>
            </w:r>
          </w:p>
        </w:tc>
        <w:tc>
          <w:tcPr>
            <w:tcW w:type="dxa" w:w="2880"/>
          </w:tcPr>
          <w:p>
            <w:r>
              <w:t>Recharts + D3.js</w:t>
            </w:r>
          </w:p>
        </w:tc>
        <w:tc>
          <w:tcPr>
            <w:tcW w:type="dxa" w:w="2880"/>
          </w:tcPr>
          <w:p>
            <w:r>
              <w:t>React-native charting, powerful custom visualizations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Node.js + Express.js</w:t>
            </w:r>
          </w:p>
        </w:tc>
        <w:tc>
          <w:tcPr>
            <w:tcW w:type="dxa" w:w="2880"/>
          </w:tcPr>
          <w:p>
            <w:r>
              <w:t>JavaScript throughout stack, async handling, large ecosystem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ACID compliance, JSON support, excellent for complex queries</w:t>
            </w:r>
          </w:p>
        </w:tc>
      </w:tr>
    </w:tbl>
    <w:p>
      <w:pPr>
        <w:pStyle w:val="Heading2"/>
        <w:spacing w:before="200" w:after="120"/>
      </w:pPr>
      <w:r>
        <w:t>10.3 Component Architecture</w:t>
      </w:r>
    </w:p>
    <w:p>
      <w:pPr>
        <w:spacing w:after="120"/>
      </w:pPr>
      <w:r>
        <w:t>Frontend Components:</w:t>
      </w:r>
    </w:p>
    <w:p>
      <w:pPr>
        <w:pStyle w:val="ListBullet"/>
      </w:pPr>
      <w:r>
        <w:t>DashboardLayout - Main layout with header, sidebar, content area</w:t>
      </w:r>
    </w:p>
    <w:p>
      <w:pPr>
        <w:pStyle w:val="ListBullet"/>
      </w:pPr>
      <w:r>
        <w:t>ExecutiveDashboard - Executive summary view</w:t>
      </w:r>
    </w:p>
    <w:p>
      <w:pPr>
        <w:pStyle w:val="ListBullet"/>
      </w:pPr>
      <w:r>
        <w:t>RiskHeatmap - Visual risk heatmap grid component</w:t>
      </w:r>
    </w:p>
    <w:p>
      <w:pPr>
        <w:pStyle w:val="ListBullet"/>
      </w:pPr>
      <w:r>
        <w:t>RiskTrendChart - Line chart for trend analysis</w:t>
      </w:r>
    </w:p>
    <w:p>
      <w:pPr>
        <w:pStyle w:val="ListBullet"/>
      </w:pPr>
      <w:r>
        <w:t>AUDetailView - Assessment Unit detail page</w:t>
      </w:r>
    </w:p>
    <w:p>
      <w:pPr>
        <w:pStyle w:val="ListBullet"/>
      </w:pPr>
      <w:r>
        <w:t>ComparisonView - Before/after and year-over-year comparisons</w:t>
      </w:r>
    </w:p>
    <w:p>
      <w:pPr>
        <w:pStyle w:val="ListBullet"/>
      </w:pPr>
      <w:r>
        <w:t>ComplianceStatusDashboard - RBI compliance tracking</w:t>
      </w:r>
    </w:p>
    <w:p>
      <w:pPr>
        <w:pStyle w:val="ListBullet"/>
      </w:pPr>
      <w:r>
        <w:t>DrillDownNavigation - Breadcrumb and navigation component</w:t>
      </w:r>
    </w:p>
    <w:p>
      <w:pPr>
        <w:pStyle w:val="ListBullet"/>
      </w:pPr>
      <w:r>
        <w:t>EarlyWarningIndicators - Alert widgets</w:t>
      </w:r>
    </w:p>
    <w:p>
      <w:pPr>
        <w:spacing w:after="120"/>
      </w:pPr>
    </w:p>
    <w:p>
      <w:pPr>
        <w:spacing w:after="120"/>
      </w:pPr>
      <w:r>
        <w:t>Backend Modules:</w:t>
      </w:r>
    </w:p>
    <w:p>
      <w:pPr>
        <w:pStyle w:val="ListBullet"/>
      </w:pPr>
      <w:r>
        <w:t>AuthService - Authentication and authorization</w:t>
      </w:r>
    </w:p>
    <w:p>
      <w:pPr>
        <w:pStyle w:val="ListBullet"/>
      </w:pPr>
      <w:r>
        <w:t>RiskCalculationEngine - Core CRAF calculation logic</w:t>
      </w:r>
    </w:p>
    <w:p>
      <w:pPr>
        <w:pStyle w:val="ListBullet"/>
      </w:pPr>
      <w:r>
        <w:t>InherentRiskService - Likelihood and Impact calculations</w:t>
      </w:r>
    </w:p>
    <w:p>
      <w:pPr>
        <w:pStyle w:val="ListBullet"/>
      </w:pPr>
      <w:r>
        <w:t>ControlQualityService - CQI calculations</w:t>
      </w:r>
    </w:p>
    <w:p>
      <w:pPr>
        <w:pStyle w:val="ListBullet"/>
      </w:pPr>
      <w:r>
        <w:t>ControlPerformanceService - CPI calculations</w:t>
      </w:r>
    </w:p>
    <w:p>
      <w:pPr>
        <w:pStyle w:val="ListBullet"/>
      </w:pPr>
      <w:r>
        <w:t>ResidualRiskService - Final risk calculations</w:t>
      </w:r>
    </w:p>
    <w:p>
      <w:pPr>
        <w:pStyle w:val="ListBullet"/>
      </w:pPr>
      <w:r>
        <w:t>DashboardService - Data aggregation for dashboards</w:t>
      </w:r>
    </w:p>
    <w:p>
      <w:pPr>
        <w:pStyle w:val="ListBullet"/>
      </w:pPr>
      <w:r>
        <w:t>APIRouter - Route handling and middleware</w:t>
      </w:r>
    </w:p>
    <w:p>
      <w:pPr>
        <w:pStyle w:val="Heading2"/>
        <w:spacing w:before="200" w:after="120"/>
      </w:pPr>
      <w:r>
        <w:t>10.4 Deployment Architecture</w:t>
      </w:r>
    </w:p>
    <w:p>
      <w:pPr>
        <w:spacing w:after="120"/>
      </w:pPr>
      <w:r>
        <w:t>For Demo Environment:</w:t>
      </w:r>
    </w:p>
    <w:p>
      <w:pPr>
        <w:pStyle w:val="ListBullet"/>
      </w:pPr>
      <w:r>
        <w:t>Single server deployment (development/staging configuration)</w:t>
      </w:r>
    </w:p>
    <w:p>
      <w:pPr>
        <w:pStyle w:val="ListBullet"/>
      </w:pPr>
      <w:r>
        <w:t>Frontend and backend on same server</w:t>
      </w:r>
    </w:p>
    <w:p>
      <w:pPr>
        <w:pStyle w:val="ListBullet"/>
      </w:pPr>
      <w:r>
        <w:t>Local PostgreSQL database</w:t>
      </w:r>
    </w:p>
    <w:p>
      <w:pPr>
        <w:pStyle w:val="ListBullet"/>
      </w:pPr>
      <w:r>
        <w:t>Nginx as reverse proxy</w:t>
      </w:r>
    </w:p>
    <w:p>
      <w:pPr>
        <w:pStyle w:val="ListBullet"/>
      </w:pPr>
      <w:r>
        <w:t>PM2 for Node.js process management</w:t>
      </w:r>
    </w:p>
    <w:p>
      <w:pPr>
        <w:spacing w:after="120"/>
      </w:pPr>
    </w:p>
    <w:p>
      <w:pPr>
        <w:spacing w:after="120"/>
      </w:pPr>
      <w:r>
        <w:t>Future Production Considerations (Out of Scope for Demo):</w:t>
      </w:r>
    </w:p>
    <w:p>
      <w:pPr>
        <w:pStyle w:val="ListBullet"/>
      </w:pPr>
      <w:r>
        <w:t>Load-balanced web servers</w:t>
      </w:r>
    </w:p>
    <w:p>
      <w:pPr>
        <w:pStyle w:val="ListBullet"/>
      </w:pPr>
      <w:r>
        <w:t>Separate application and database servers</w:t>
      </w:r>
    </w:p>
    <w:p>
      <w:pPr>
        <w:pStyle w:val="ListBullet"/>
      </w:pPr>
      <w:r>
        <w:t>Redis for session management and caching</w:t>
      </w:r>
    </w:p>
    <w:p>
      <w:pPr>
        <w:pStyle w:val="ListBullet"/>
      </w:pPr>
      <w:r>
        <w:t>Docker containerization</w:t>
      </w:r>
    </w:p>
    <w:p>
      <w:pPr>
        <w:pStyle w:val="ListBullet"/>
      </w:pPr>
      <w:r>
        <w:t>Cloud deployment (AWS/Azure)</w:t>
      </w:r>
    </w:p>
    <w:p>
      <w:r>
        <w:br w:type="page"/>
      </w:r>
    </w:p>
    <w:p>
      <w:pPr>
        <w:pStyle w:val="Heading1"/>
        <w:spacing w:before="280" w:after="120"/>
      </w:pPr>
      <w:r>
        <w:t>11. Implementation Roadmap</w:t>
      </w:r>
    </w:p>
    <w:p>
      <w:pPr>
        <w:spacing w:after="120"/>
      </w:pPr>
      <w:r>
        <w:t>Phased 3-4 week development plan to deliver working prototype.</w:t>
      </w:r>
    </w:p>
    <w:p>
      <w:pPr>
        <w:pStyle w:val="Heading2"/>
        <w:spacing w:before="200" w:after="120"/>
      </w:pPr>
      <w:r>
        <w:t>11.1 Week 1: Foundation (Days 1-7)</w:t>
      </w:r>
    </w:p>
    <w:p>
      <w:pPr>
        <w:spacing w:after="120"/>
      </w:pPr>
      <w:r>
        <w:t>Deliverables:</w:t>
      </w:r>
    </w:p>
    <w:p>
      <w:pPr>
        <w:pStyle w:val="ListBullet"/>
      </w:pPr>
      <w:r>
        <w:t>Finalize BRD and technical specifications</w:t>
      </w:r>
    </w:p>
    <w:p>
      <w:pPr>
        <w:pStyle w:val="ListBullet"/>
      </w:pPr>
      <w:r>
        <w:t>Set up development environment</w:t>
      </w:r>
    </w:p>
    <w:p>
      <w:pPr>
        <w:pStyle w:val="ListBullet"/>
      </w:pPr>
      <w:r>
        <w:t>Create database schema and populate with sample data (30+ AUs)</w:t>
      </w:r>
    </w:p>
    <w:p>
      <w:pPr>
        <w:pStyle w:val="ListBullet"/>
      </w:pPr>
      <w:r>
        <w:t>Develop core calculation engine for CRAF methodology</w:t>
      </w:r>
    </w:p>
    <w:p>
      <w:pPr>
        <w:pStyle w:val="ListBullet"/>
      </w:pPr>
      <w:r>
        <w:t>Build basic API framework</w:t>
      </w:r>
    </w:p>
    <w:p>
      <w:pPr>
        <w:spacing w:after="120"/>
      </w:pPr>
    </w:p>
    <w:p>
      <w:pPr>
        <w:spacing w:after="120"/>
      </w:pPr>
      <w:r>
        <w:t>Tasks:</w:t>
      </w:r>
    </w:p>
    <w:p>
      <w:pPr>
        <w:pStyle w:val="ListNumber"/>
      </w:pPr>
      <w:r>
        <w:t>Day 1-2: Environment setup, technology stack installation</w:t>
      </w:r>
    </w:p>
    <w:p>
      <w:pPr>
        <w:pStyle w:val="ListNumber"/>
      </w:pPr>
      <w:r>
        <w:t>Day 3-4: Database design, schema creation, sample data generation</w:t>
      </w:r>
    </w:p>
    <w:p>
      <w:pPr>
        <w:pStyle w:val="ListNumber"/>
      </w:pPr>
      <w:r>
        <w:t>Day 4-5: Inherent Risk calculation engine development</w:t>
      </w:r>
    </w:p>
    <w:p>
      <w:pPr>
        <w:pStyle w:val="ListNumber"/>
      </w:pPr>
      <w:r>
        <w:t>Day 6: Control Quality and Performance calculation engines</w:t>
      </w:r>
    </w:p>
    <w:p>
      <w:pPr>
        <w:pStyle w:val="ListNumber"/>
      </w:pPr>
      <w:r>
        <w:t>Day 7: Residual Risk calculation and API endpoint creation</w:t>
      </w:r>
    </w:p>
    <w:p>
      <w:pPr>
        <w:spacing w:after="120"/>
      </w:pPr>
    </w:p>
    <w:p>
      <w:pPr>
        <w:spacing w:after="120"/>
      </w:pPr>
      <w:r>
        <w:t>Acceptance Criteria:</w:t>
      </w:r>
    </w:p>
    <w:p>
      <w:pPr>
        <w:pStyle w:val="ListBullet"/>
      </w:pPr>
      <w:r>
        <w:t>Database fully populated with 30+ AUs, 100+ obligations, 300+ controls</w:t>
      </w:r>
    </w:p>
    <w:p>
      <w:pPr>
        <w:pStyle w:val="ListBullet"/>
      </w:pPr>
      <w:r>
        <w:t>All CRAF calculations working correctly via API endpoints</w:t>
      </w:r>
    </w:p>
    <w:p>
      <w:pPr>
        <w:pStyle w:val="ListBullet"/>
      </w:pPr>
      <w:r>
        <w:t>Unit tests passing for calculation engine</w:t>
      </w:r>
    </w:p>
    <w:p>
      <w:pPr>
        <w:pStyle w:val="Heading2"/>
        <w:spacing w:before="200" w:after="120"/>
      </w:pPr>
      <w:r>
        <w:t>11.2 Week 2: Core Features (Days 8-14)</w:t>
      </w:r>
    </w:p>
    <w:p>
      <w:pPr>
        <w:spacing w:after="120"/>
      </w:pPr>
      <w:r>
        <w:t>Deliverables:</w:t>
      </w:r>
    </w:p>
    <w:p>
      <w:pPr>
        <w:pStyle w:val="ListBullet"/>
      </w:pPr>
      <w:r>
        <w:t>Complete API development for all endpoints</w:t>
      </w:r>
    </w:p>
    <w:p>
      <w:pPr>
        <w:pStyle w:val="ListBullet"/>
      </w:pPr>
      <w:r>
        <w:t>Frontend framework and routing setup</w:t>
      </w:r>
    </w:p>
    <w:p>
      <w:pPr>
        <w:pStyle w:val="ListBullet"/>
      </w:pPr>
      <w:r>
        <w:t>Executive Dashboard implementation</w:t>
      </w:r>
    </w:p>
    <w:p>
      <w:pPr>
        <w:pStyle w:val="ListBullet"/>
      </w:pPr>
      <w:r>
        <w:t>Risk Assessment detail views</w:t>
      </w:r>
    </w:p>
    <w:p>
      <w:pPr>
        <w:spacing w:after="120"/>
      </w:pPr>
    </w:p>
    <w:p>
      <w:pPr>
        <w:spacing w:after="120"/>
      </w:pPr>
      <w:r>
        <w:t>Tasks:</w:t>
      </w:r>
    </w:p>
    <w:p>
      <w:pPr>
        <w:pStyle w:val="ListNumber"/>
      </w:pPr>
      <w:r>
        <w:t>Day 8-9: Complete all API endpoints (dashboard, risk assessment, controls)</w:t>
      </w:r>
    </w:p>
    <w:p>
      <w:pPr>
        <w:pStyle w:val="ListNumber"/>
      </w:pPr>
      <w:r>
        <w:t>Day 10-11: Frontend framework setup (React), routing, state management</w:t>
      </w:r>
    </w:p>
    <w:p>
      <w:pPr>
        <w:pStyle w:val="ListNumber"/>
      </w:pPr>
      <w:r>
        <w:t>Day 12-13: Executive Dashboard development (KPIs, heatmap, trends)</w:t>
      </w:r>
    </w:p>
    <w:p>
      <w:pPr>
        <w:pStyle w:val="ListNumber"/>
      </w:pPr>
      <w:r>
        <w:t>Day 14: AU Detail View implementation</w:t>
      </w:r>
    </w:p>
    <w:p>
      <w:pPr>
        <w:spacing w:after="120"/>
      </w:pPr>
    </w:p>
    <w:p>
      <w:pPr>
        <w:spacing w:after="120"/>
      </w:pPr>
      <w:r>
        <w:t>Acceptance Criteria:</w:t>
      </w:r>
    </w:p>
    <w:p>
      <w:pPr>
        <w:pStyle w:val="ListBullet"/>
      </w:pPr>
      <w:r>
        <w:t>All API endpoints functional and returning correct data</w:t>
      </w:r>
    </w:p>
    <w:p>
      <w:pPr>
        <w:pStyle w:val="ListBullet"/>
      </w:pPr>
      <w:r>
        <w:t>Executive Dashboard displays all KPIs and visualizations</w:t>
      </w:r>
    </w:p>
    <w:p>
      <w:pPr>
        <w:pStyle w:val="ListBullet"/>
      </w:pPr>
      <w:r>
        <w:t>Navigation between views working</w:t>
      </w:r>
    </w:p>
    <w:p>
      <w:pPr>
        <w:pStyle w:val="Heading2"/>
        <w:spacing w:before="200" w:after="120"/>
      </w:pPr>
      <w:r>
        <w:t>11.3 Week 3: Integration &amp; Advanced Features (Days 15-21)</w:t>
      </w:r>
    </w:p>
    <w:p>
      <w:pPr>
        <w:spacing w:after="120"/>
      </w:pPr>
      <w:r>
        <w:t>Deliverables:</w:t>
      </w:r>
    </w:p>
    <w:p>
      <w:pPr>
        <w:pStyle w:val="ListBullet"/>
      </w:pPr>
      <w:r>
        <w:t>Drill-down navigation implementation</w:t>
      </w:r>
    </w:p>
    <w:p>
      <w:pPr>
        <w:pStyle w:val="ListBullet"/>
      </w:pPr>
      <w:r>
        <w:t>Comparison views (year-over-year, before/after)</w:t>
      </w:r>
    </w:p>
    <w:p>
      <w:pPr>
        <w:pStyle w:val="ListBullet"/>
      </w:pPr>
      <w:r>
        <w:t>Early warning indicators</w:t>
      </w:r>
    </w:p>
    <w:p>
      <w:pPr>
        <w:pStyle w:val="ListBullet"/>
      </w:pPr>
      <w:r>
        <w:t>Regulatory compliance dashboard</w:t>
      </w:r>
    </w:p>
    <w:p>
      <w:pPr>
        <w:pStyle w:val="ListBullet"/>
      </w:pPr>
      <w:r>
        <w:t>Three scenario implementations</w:t>
      </w:r>
    </w:p>
    <w:p>
      <w:pPr>
        <w:spacing w:after="120"/>
      </w:pPr>
    </w:p>
    <w:p>
      <w:pPr>
        <w:spacing w:after="120"/>
      </w:pPr>
      <w:r>
        <w:t>Tasks:</w:t>
      </w:r>
    </w:p>
    <w:p>
      <w:pPr>
        <w:pStyle w:val="ListNumber"/>
      </w:pPr>
      <w:r>
        <w:t>Day 15-16: Four-level drill-down navigation (Enterprise → Theme → AU → Obligation)</w:t>
      </w:r>
    </w:p>
    <w:p>
      <w:pPr>
        <w:pStyle w:val="ListNumber"/>
      </w:pPr>
      <w:r>
        <w:t>Day 17: Year-over-year comparison views</w:t>
      </w:r>
    </w:p>
    <w:p>
      <w:pPr>
        <w:pStyle w:val="ListNumber"/>
      </w:pPr>
      <w:r>
        <w:t>Day 18: Before/after control implementation comparison</w:t>
      </w:r>
    </w:p>
    <w:p>
      <w:pPr>
        <w:pStyle w:val="ListNumber"/>
      </w:pPr>
      <w:r>
        <w:t>Day 19: Early warning indicators development</w:t>
      </w:r>
    </w:p>
    <w:p>
      <w:pPr>
        <w:pStyle w:val="ListNumber"/>
      </w:pPr>
      <w:r>
        <w:t>Day 20: RBI Compliance Status Dashboard</w:t>
      </w:r>
    </w:p>
    <w:p>
      <w:pPr>
        <w:pStyle w:val="ListNumber"/>
      </w:pPr>
      <w:r>
        <w:t>Day 21: Scenario 1 implementation (Audit Finding Remediation)</w:t>
      </w:r>
    </w:p>
    <w:p>
      <w:pPr>
        <w:spacing w:after="120"/>
      </w:pPr>
    </w:p>
    <w:p>
      <w:pPr>
        <w:spacing w:after="120"/>
      </w:pPr>
      <w:r>
        <w:t>Acceptance Criteria:</w:t>
      </w:r>
    </w:p>
    <w:p>
      <w:pPr>
        <w:pStyle w:val="ListBullet"/>
      </w:pPr>
      <w:r>
        <w:t>Full drill-down navigation operational</w:t>
      </w:r>
    </w:p>
    <w:p>
      <w:pPr>
        <w:pStyle w:val="ListBullet"/>
      </w:pPr>
      <w:r>
        <w:t>All comparison views functional with realistic data</w:t>
      </w:r>
    </w:p>
    <w:p>
      <w:pPr>
        <w:pStyle w:val="ListBullet"/>
      </w:pPr>
      <w:r>
        <w:t>Early warning indicators correctly identifying deteriorating AUs</w:t>
      </w:r>
    </w:p>
    <w:p>
      <w:pPr>
        <w:pStyle w:val="ListBullet"/>
      </w:pPr>
      <w:r>
        <w:t>First business scenario fully demonstrable</w:t>
      </w:r>
    </w:p>
    <w:p>
      <w:pPr>
        <w:pStyle w:val="Heading2"/>
        <w:spacing w:before="200" w:after="120"/>
      </w:pPr>
      <w:r>
        <w:t>11.4 Week 4: Scenarios, Testing &amp; Polish (Days 22-28)</w:t>
      </w:r>
    </w:p>
    <w:p>
      <w:pPr>
        <w:spacing w:after="120"/>
      </w:pPr>
      <w:r>
        <w:t>Deliverables:</w:t>
      </w:r>
    </w:p>
    <w:p>
      <w:pPr>
        <w:pStyle w:val="ListBullet"/>
      </w:pPr>
      <w:r>
        <w:t>Remaining scenarios implementation</w:t>
      </w:r>
    </w:p>
    <w:p>
      <w:pPr>
        <w:pStyle w:val="ListBullet"/>
      </w:pPr>
      <w:r>
        <w:t>Comprehensive testing and bug fixes</w:t>
      </w:r>
    </w:p>
    <w:p>
      <w:pPr>
        <w:pStyle w:val="ListBullet"/>
      </w:pPr>
      <w:r>
        <w:t>UI/UX refinement and professional styling</w:t>
      </w:r>
    </w:p>
    <w:p>
      <w:pPr>
        <w:pStyle w:val="ListBullet"/>
      </w:pPr>
      <w:r>
        <w:t>Demo preparation and rehearsal</w:t>
      </w:r>
    </w:p>
    <w:p>
      <w:pPr>
        <w:spacing w:after="120"/>
      </w:pPr>
    </w:p>
    <w:p>
      <w:pPr>
        <w:spacing w:after="120"/>
      </w:pPr>
      <w:r>
        <w:t>Tasks:</w:t>
      </w:r>
    </w:p>
    <w:p>
      <w:pPr>
        <w:pStyle w:val="ListNumber"/>
      </w:pPr>
      <w:r>
        <w:t>Day 22: Scenario 2 implementation (Control Failure Investigation)</w:t>
      </w:r>
    </w:p>
    <w:p>
      <w:pPr>
        <w:pStyle w:val="ListNumber"/>
      </w:pPr>
      <w:r>
        <w:t>Day 23: Scenario 3 implementation (New Regulation Impact Assessment)</w:t>
      </w:r>
    </w:p>
    <w:p>
      <w:pPr>
        <w:pStyle w:val="ListNumber"/>
      </w:pPr>
      <w:r>
        <w:t>Day 24-25: End-to-end testing, bug fixes</w:t>
      </w:r>
    </w:p>
    <w:p>
      <w:pPr>
        <w:pStyle w:val="ListNumber"/>
      </w:pPr>
      <w:r>
        <w:t>Day 26: UI/UX polish, professional banking theme refinement</w:t>
      </w:r>
    </w:p>
    <w:p>
      <w:pPr>
        <w:pStyle w:val="ListNumber"/>
      </w:pPr>
      <w:r>
        <w:t>Day 27: Performance optimization, final data validation</w:t>
      </w:r>
    </w:p>
    <w:p>
      <w:pPr>
        <w:pStyle w:val="ListNumber"/>
      </w:pPr>
      <w:r>
        <w:t>Day 28: Demo script preparation, dry run, final adjustments</w:t>
      </w:r>
    </w:p>
    <w:p>
      <w:pPr>
        <w:spacing w:after="120"/>
      </w:pPr>
    </w:p>
    <w:p>
      <w:pPr>
        <w:spacing w:after="120"/>
      </w:pPr>
      <w:r>
        <w:t>Acceptance Criteria:</w:t>
      </w:r>
    </w:p>
    <w:p>
      <w:pPr>
        <w:pStyle w:val="ListBullet"/>
      </w:pPr>
      <w:r>
        <w:t>All three priority scenarios fully functional and demonstrable</w:t>
      </w:r>
    </w:p>
    <w:p>
      <w:pPr>
        <w:pStyle w:val="ListBullet"/>
      </w:pPr>
      <w:r>
        <w:t>No critical bugs</w:t>
      </w:r>
    </w:p>
    <w:p>
      <w:pPr>
        <w:pStyle w:val="ListBullet"/>
      </w:pPr>
      <w:r>
        <w:t>Professional UI matching banking industry standards</w:t>
      </w:r>
    </w:p>
    <w:p>
      <w:pPr>
        <w:pStyle w:val="ListBullet"/>
      </w:pPr>
      <w:r>
        <w:t>15-20 minute demo flow smooth and compelling</w:t>
      </w:r>
    </w:p>
    <w:p>
      <w:pPr>
        <w:pStyle w:val="ListBullet"/>
      </w:pPr>
      <w:r>
        <w:t>System ready for client presentation</w:t>
      </w:r>
    </w:p>
    <w:p>
      <w:r>
        <w:br w:type="page"/>
      </w:r>
    </w:p>
    <w:p>
      <w:pPr>
        <w:pStyle w:val="Heading1"/>
        <w:spacing w:before="280" w:after="120"/>
      </w:pPr>
      <w:r>
        <w:t>12. Acceptance Criteria</w:t>
      </w:r>
    </w:p>
    <w:p>
      <w:pPr>
        <w:spacing w:after="120"/>
      </w:pPr>
      <w:r>
        <w:t>The prototype will be considered complete and ready for demo when all criteria are met.</w:t>
      </w:r>
    </w:p>
    <w:p>
      <w:pPr>
        <w:pStyle w:val="Heading2"/>
        <w:spacing w:before="200" w:after="120"/>
      </w:pPr>
      <w:r>
        <w:t>12.1 Functional Acceptance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Criteria</w:t>
            </w:r>
          </w:p>
        </w:tc>
        <w:tc>
          <w:tcPr>
            <w:tcW w:type="dxa" w:w="2880"/>
          </w:tcPr>
          <w:p>
            <w:r>
              <w:t>Verification Method</w:t>
            </w:r>
          </w:p>
        </w:tc>
      </w:tr>
      <w:tr>
        <w:tc>
          <w:tcPr>
            <w:tcW w:type="dxa" w:w="2880"/>
          </w:tcPr>
          <w:p>
            <w:r>
              <w:t>Data Coverage</w:t>
            </w:r>
          </w:p>
        </w:tc>
        <w:tc>
          <w:tcPr>
            <w:tcW w:type="dxa" w:w="2880"/>
          </w:tcPr>
          <w:p>
            <w:r>
              <w:t>30+ Assessment Units across all business areas with complete data</w:t>
            </w:r>
          </w:p>
        </w:tc>
        <w:tc>
          <w:tcPr>
            <w:tcW w:type="dxa" w:w="2880"/>
          </w:tcPr>
          <w:p>
            <w:r>
              <w:t>Database query count</w:t>
            </w:r>
          </w:p>
        </w:tc>
      </w:tr>
      <w:tr>
        <w:tc>
          <w:tcPr>
            <w:tcW w:type="dxa" w:w="2880"/>
          </w:tcPr>
          <w:p>
            <w:r>
              <w:t>CRAF Calculations</w:t>
            </w:r>
          </w:p>
        </w:tc>
        <w:tc>
          <w:tcPr>
            <w:tcW w:type="dxa" w:w="2880"/>
          </w:tcPr>
          <w:p>
            <w:r>
              <w:t>All risk calculations (Inherent, CQI, CPI, Residual) accurate per methodology</w:t>
            </w:r>
          </w:p>
        </w:tc>
        <w:tc>
          <w:tcPr>
            <w:tcW w:type="dxa" w:w="2880"/>
          </w:tcPr>
          <w:p>
            <w:r>
              <w:t>Manual verification of sample calculations</w:t>
            </w:r>
          </w:p>
        </w:tc>
      </w:tr>
      <w:tr>
        <w:tc>
          <w:tcPr>
            <w:tcW w:type="dxa" w:w="2880"/>
          </w:tcPr>
          <w:p>
            <w:r>
              <w:t>Executive Dashboard</w:t>
            </w:r>
          </w:p>
        </w:tc>
        <w:tc>
          <w:tcPr>
            <w:tcW w:type="dxa" w:w="2880"/>
          </w:tcPr>
          <w:p>
            <w:r>
              <w:t>All 4 KPIs displayed correctly, risk heatmap shows all AUs</w:t>
            </w:r>
          </w:p>
        </w:tc>
        <w:tc>
          <w:tcPr>
            <w:tcW w:type="dxa" w:w="2880"/>
          </w:tcPr>
          <w:p>
            <w:r>
              <w:t>Visual inspection</w:t>
            </w:r>
          </w:p>
        </w:tc>
      </w:tr>
      <w:tr>
        <w:tc>
          <w:tcPr>
            <w:tcW w:type="dxa" w:w="2880"/>
          </w:tcPr>
          <w:p>
            <w:r>
              <w:t>Drill-Down</w:t>
            </w:r>
          </w:p>
        </w:tc>
        <w:tc>
          <w:tcPr>
            <w:tcW w:type="dxa" w:w="2880"/>
          </w:tcPr>
          <w:p>
            <w:r>
              <w:t>4-level navigation works: Enterprise → Theme → AU → Obligation</w:t>
            </w:r>
          </w:p>
        </w:tc>
        <w:tc>
          <w:tcPr>
            <w:tcW w:type="dxa" w:w="2880"/>
          </w:tcPr>
          <w:p>
            <w:r>
              <w:t>Test navigation path</w:t>
            </w:r>
          </w:p>
        </w:tc>
      </w:tr>
      <w:tr>
        <w:tc>
          <w:tcPr>
            <w:tcW w:type="dxa" w:w="2880"/>
          </w:tcPr>
          <w:p>
            <w:r>
              <w:t>Comparisons</w:t>
            </w:r>
          </w:p>
        </w:tc>
        <w:tc>
          <w:tcPr>
            <w:tcW w:type="dxa" w:w="2880"/>
          </w:tcPr>
          <w:p>
            <w:r>
              <w:t>Year-over-year and before/after views display correctly</w:t>
            </w:r>
          </w:p>
        </w:tc>
        <w:tc>
          <w:tcPr>
            <w:tcW w:type="dxa" w:w="2880"/>
          </w:tcPr>
          <w:p>
            <w:r>
              <w:t>Visual inspection with sample data</w:t>
            </w:r>
          </w:p>
        </w:tc>
      </w:tr>
      <w:tr>
        <w:tc>
          <w:tcPr>
            <w:tcW w:type="dxa" w:w="2880"/>
          </w:tcPr>
          <w:p>
            <w:r>
              <w:t>Early Warnings</w:t>
            </w:r>
          </w:p>
        </w:tc>
        <w:tc>
          <w:tcPr>
            <w:tcW w:type="dxa" w:w="2880"/>
          </w:tcPr>
          <w:p>
            <w:r>
              <w:t>Indicators correctly flag deteriorating AUs and controls</w:t>
            </w:r>
          </w:p>
        </w:tc>
        <w:tc>
          <w:tcPr>
            <w:tcW w:type="dxa" w:w="2880"/>
          </w:tcPr>
          <w:p>
            <w:r>
              <w:t>Verify alert logic with test data</w:t>
            </w:r>
          </w:p>
        </w:tc>
      </w:tr>
      <w:tr>
        <w:tc>
          <w:tcPr>
            <w:tcW w:type="dxa" w:w="2880"/>
          </w:tcPr>
          <w:p>
            <w:r>
              <w:t>RBI Compliance</w:t>
            </w:r>
          </w:p>
        </w:tc>
        <w:tc>
          <w:tcPr>
            <w:tcW w:type="dxa" w:w="2880"/>
          </w:tcPr>
          <w:p>
            <w:r>
              <w:t>Compliance dashboard shows realistic RBI obligations and status</w:t>
            </w:r>
          </w:p>
        </w:tc>
        <w:tc>
          <w:tcPr>
            <w:tcW w:type="dxa" w:w="2880"/>
          </w:tcPr>
          <w:p>
            <w:r>
              <w:t>Review sample obligations</w:t>
            </w:r>
          </w:p>
        </w:tc>
      </w:tr>
      <w:tr>
        <w:tc>
          <w:tcPr>
            <w:tcW w:type="dxa" w:w="2880"/>
          </w:tcPr>
          <w:p>
            <w:r>
              <w:t>Scenario 1</w:t>
            </w:r>
          </w:p>
        </w:tc>
        <w:tc>
          <w:tcPr>
            <w:tcW w:type="dxa" w:w="2880"/>
          </w:tcPr>
          <w:p>
            <w:r>
              <w:t>Audit Finding Remediation scenario fully demonstrable in 3-4 minutes</w:t>
            </w:r>
          </w:p>
        </w:tc>
        <w:tc>
          <w:tcPr>
            <w:tcW w:type="dxa" w:w="2880"/>
          </w:tcPr>
          <w:p>
            <w:r>
              <w:t>Demo walkthrough</w:t>
            </w:r>
          </w:p>
        </w:tc>
      </w:tr>
      <w:tr>
        <w:tc>
          <w:tcPr>
            <w:tcW w:type="dxa" w:w="2880"/>
          </w:tcPr>
          <w:p>
            <w:r>
              <w:t>Scenario 2</w:t>
            </w:r>
          </w:p>
        </w:tc>
        <w:tc>
          <w:tcPr>
            <w:tcW w:type="dxa" w:w="2880"/>
          </w:tcPr>
          <w:p>
            <w:r>
              <w:t>Control Failure Investigation scenario fully demonstrable in 3-4 minutes</w:t>
            </w:r>
          </w:p>
        </w:tc>
        <w:tc>
          <w:tcPr>
            <w:tcW w:type="dxa" w:w="2880"/>
          </w:tcPr>
          <w:p>
            <w:r>
              <w:t>Demo walkthrough</w:t>
            </w:r>
          </w:p>
        </w:tc>
      </w:tr>
      <w:tr>
        <w:tc>
          <w:tcPr>
            <w:tcW w:type="dxa" w:w="2880"/>
          </w:tcPr>
          <w:p>
            <w:r>
              <w:t>Scenario 3</w:t>
            </w:r>
          </w:p>
        </w:tc>
        <w:tc>
          <w:tcPr>
            <w:tcW w:type="dxa" w:w="2880"/>
          </w:tcPr>
          <w:p>
            <w:r>
              <w:t>New Regulation Impact scenario fully demonstrable in 3-4 minutes</w:t>
            </w:r>
          </w:p>
        </w:tc>
        <w:tc>
          <w:tcPr>
            <w:tcW w:type="dxa" w:w="2880"/>
          </w:tcPr>
          <w:p>
            <w:r>
              <w:t>Demo walkthrough</w:t>
            </w:r>
          </w:p>
        </w:tc>
      </w:tr>
    </w:tbl>
    <w:p>
      <w:pPr>
        <w:pStyle w:val="Heading2"/>
        <w:spacing w:before="200" w:after="120"/>
      </w:pPr>
      <w:r>
        <w:t>12.2 Non-Functional Acceptance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Criteria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Page load time</w:t>
            </w:r>
          </w:p>
        </w:tc>
        <w:tc>
          <w:tcPr>
            <w:tcW w:type="dxa" w:w="2880"/>
          </w:tcPr>
          <w:p>
            <w:r>
              <w:t>&lt; 2 seconds for dashboard views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API response time</w:t>
            </w:r>
          </w:p>
        </w:tc>
        <w:tc>
          <w:tcPr>
            <w:tcW w:type="dxa" w:w="2880"/>
          </w:tcPr>
          <w:p>
            <w:r>
              <w:t>&lt; 500ms for most endpoints</w:t>
            </w:r>
          </w:p>
        </w:tc>
      </w:tr>
      <w:tr>
        <w:tc>
          <w:tcPr>
            <w:tcW w:type="dxa" w:w="2880"/>
          </w:tcPr>
          <w:p>
            <w:r>
              <w:t>Usability</w:t>
            </w:r>
          </w:p>
        </w:tc>
        <w:tc>
          <w:tcPr>
            <w:tcW w:type="dxa" w:w="2880"/>
          </w:tcPr>
          <w:p>
            <w:r>
              <w:t>Navigation intuitive for non-technical users</w:t>
            </w:r>
          </w:p>
        </w:tc>
        <w:tc>
          <w:tcPr>
            <w:tcW w:type="dxa" w:w="2880"/>
          </w:tcPr>
          <w:p>
            <w:r>
              <w:t>Stakeholder review feedback</w:t>
            </w:r>
          </w:p>
        </w:tc>
      </w:tr>
      <w:tr>
        <w:tc>
          <w:tcPr>
            <w:tcW w:type="dxa" w:w="2880"/>
          </w:tcPr>
          <w:p>
            <w:r>
              <w:t>Visual Design</w:t>
            </w:r>
          </w:p>
        </w:tc>
        <w:tc>
          <w:tcPr>
            <w:tcW w:type="dxa" w:w="2880"/>
          </w:tcPr>
          <w:p>
            <w:r>
              <w:t>Professional banking theme, consistent styling</w:t>
            </w:r>
          </w:p>
        </w:tc>
        <w:tc>
          <w:tcPr>
            <w:tcW w:type="dxa" w:w="2880"/>
          </w:tcPr>
          <w:p>
            <w:r>
              <w:t>Design review approval</w:t>
            </w:r>
          </w:p>
        </w:tc>
      </w:tr>
      <w:tr>
        <w:tc>
          <w:tcPr>
            <w:tcW w:type="dxa" w:w="2880"/>
          </w:tcPr>
          <w:p>
            <w:r>
              <w:t>Browser Compatibility</w:t>
            </w:r>
          </w:p>
        </w:tc>
        <w:tc>
          <w:tcPr>
            <w:tcW w:type="dxa" w:w="2880"/>
          </w:tcPr>
          <w:p>
            <w:r>
              <w:t>Works in Chrome, Edge, Safari</w:t>
            </w:r>
          </w:p>
        </w:tc>
        <w:tc>
          <w:tcPr>
            <w:tcW w:type="dxa" w:w="2880"/>
          </w:tcPr>
          <w:p>
            <w:r>
              <w:t>Test in each browser</w:t>
            </w:r>
          </w:p>
        </w:tc>
      </w:tr>
    </w:tbl>
    <w:p>
      <w:pPr>
        <w:pStyle w:val="Heading2"/>
        <w:spacing w:before="200" w:after="120"/>
      </w:pPr>
      <w:r>
        <w:t>12.3 Demo Readiness</w:t>
      </w:r>
    </w:p>
    <w:p>
      <w:pPr>
        <w:pStyle w:val="ListBullet"/>
      </w:pPr>
      <w:r>
        <w:t>15-20 minute demo flows smoothly without technical issues</w:t>
      </w:r>
    </w:p>
    <w:p>
      <w:pPr>
        <w:pStyle w:val="ListBullet"/>
      </w:pPr>
      <w:r>
        <w:t>All visualizations render correctly on presentation screen</w:t>
      </w:r>
    </w:p>
    <w:p>
      <w:pPr>
        <w:pStyle w:val="ListBullet"/>
      </w:pPr>
      <w:r>
        <w:t>Sample data is realistic and representative of banking operations</w:t>
      </w:r>
    </w:p>
    <w:p>
      <w:pPr>
        <w:pStyle w:val="ListBullet"/>
      </w:pPr>
      <w:r>
        <w:t>Calculations produce logical results that tell a coherent story</w:t>
      </w:r>
    </w:p>
    <w:p>
      <w:pPr>
        <w:pStyle w:val="ListBullet"/>
      </w:pPr>
      <w:r>
        <w:t>Presenter can navigate system confidently without hesitation</w:t>
      </w:r>
    </w:p>
    <w:p>
      <w:pPr>
        <w:pStyle w:val="ListBullet"/>
      </w:pPr>
      <w:r>
        <w:t>System responds quickly during demo (no long load times)</w:t>
      </w:r>
    </w:p>
    <w:p>
      <w:pPr>
        <w:pStyle w:val="ListBullet"/>
      </w:pPr>
      <w:r>
        <w:t>Backup plan available in case of technical difficulties</w:t>
      </w:r>
    </w:p>
    <w:p>
      <w:r>
        <w:br w:type="page"/>
      </w:r>
    </w:p>
    <w:p>
      <w:pPr>
        <w:pStyle w:val="Heading1"/>
        <w:spacing w:before="280" w:after="120"/>
      </w:pPr>
      <w:r>
        <w:t>13. Future Enhancements</w:t>
      </w:r>
    </w:p>
    <w:p>
      <w:pPr>
        <w:spacing w:after="120"/>
      </w:pPr>
      <w:r>
        <w:t>While excluded from the demo scope, these features should be highlighted in the product roadmap to show the client the full potential of the CRAF platform.</w:t>
      </w:r>
    </w:p>
    <w:p>
      <w:pPr>
        <w:pStyle w:val="Heading2"/>
        <w:spacing w:before="200" w:after="120"/>
      </w:pPr>
      <w:r>
        <w:t>13.1 Alerts &amp; Notifications</w:t>
      </w:r>
    </w:p>
    <w:p>
      <w:pPr>
        <w:spacing w:after="120"/>
      </w:pPr>
      <w:r>
        <w:t>Automated Risk Alerts:</w:t>
      </w:r>
    </w:p>
    <w:p>
      <w:pPr>
        <w:pStyle w:val="ListBullet"/>
      </w:pPr>
      <w:r>
        <w:t>Email/SMS notifications when residual risk exceeds thresholds</w:t>
      </w:r>
    </w:p>
    <w:p>
      <w:pPr>
        <w:pStyle w:val="ListBullet"/>
      </w:pPr>
      <w:r>
        <w:t>Alerts for control failures and KCI breaches</w:t>
      </w:r>
    </w:p>
    <w:p>
      <w:pPr>
        <w:pStyle w:val="ListBullet"/>
      </w:pPr>
      <w:r>
        <w:t>Early warning escalation to appropriate stakeholders</w:t>
      </w:r>
    </w:p>
    <w:p>
      <w:pPr>
        <w:pStyle w:val="ListBullet"/>
      </w:pPr>
      <w:r>
        <w:t>Configurable alert rules based on business requirements</w:t>
      </w:r>
    </w:p>
    <w:p>
      <w:pPr>
        <w:pStyle w:val="ListBullet"/>
      </w:pPr>
      <w:r>
        <w:t>Dashboard notification center with alert history</w:t>
      </w:r>
    </w:p>
    <w:p>
      <w:pPr>
        <w:spacing w:after="120"/>
      </w:pPr>
    </w:p>
    <w:p>
      <w:pPr>
        <w:spacing w:after="120"/>
      </w:pPr>
      <w:r>
        <w:t>Scheduled Reports:</w:t>
      </w:r>
    </w:p>
    <w:p>
      <w:pPr>
        <w:pStyle w:val="ListBullet"/>
      </w:pPr>
      <w:r>
        <w:t>Automated monthly/quarterly risk reports to executives</w:t>
      </w:r>
    </w:p>
    <w:p>
      <w:pPr>
        <w:pStyle w:val="ListBullet"/>
      </w:pPr>
      <w:r>
        <w:t>Regulatory compliance status reports</w:t>
      </w:r>
    </w:p>
    <w:p>
      <w:pPr>
        <w:pStyle w:val="ListBullet"/>
      </w:pPr>
      <w:r>
        <w:t>Control effectiveness summary reports</w:t>
      </w:r>
    </w:p>
    <w:p>
      <w:pPr>
        <w:pStyle w:val="ListBullet"/>
      </w:pPr>
      <w:r>
        <w:t>Customizable report templates</w:t>
      </w:r>
    </w:p>
    <w:p>
      <w:pPr>
        <w:pStyle w:val="Heading2"/>
        <w:spacing w:before="200" w:after="120"/>
      </w:pPr>
      <w:r>
        <w:t>13.2 Workflow Management</w:t>
      </w:r>
    </w:p>
    <w:p>
      <w:pPr>
        <w:spacing w:after="120"/>
      </w:pPr>
      <w:r>
        <w:t>Approval Workflows:</w:t>
      </w:r>
    </w:p>
    <w:p>
      <w:pPr>
        <w:pStyle w:val="ListBullet"/>
      </w:pPr>
      <w:r>
        <w:t>Risk assessment approval process (AU Head → Compliance → GCCO)</w:t>
      </w:r>
    </w:p>
    <w:p>
      <w:pPr>
        <w:pStyle w:val="ListBullet"/>
      </w:pPr>
      <w:r>
        <w:t>Control remediation plan approvals</w:t>
      </w:r>
    </w:p>
    <w:p>
      <w:pPr>
        <w:pStyle w:val="ListBullet"/>
      </w:pPr>
      <w:r>
        <w:t>New obligation addition workflows</w:t>
      </w:r>
    </w:p>
    <w:p>
      <w:pPr>
        <w:pStyle w:val="ListBullet"/>
      </w:pPr>
      <w:r>
        <w:t>Multi-level approval routing based on risk severity</w:t>
      </w:r>
    </w:p>
    <w:p>
      <w:pPr>
        <w:spacing w:after="120"/>
      </w:pPr>
    </w:p>
    <w:p>
      <w:pPr>
        <w:spacing w:after="120"/>
      </w:pPr>
      <w:r>
        <w:t>Task Management:</w:t>
      </w:r>
    </w:p>
    <w:p>
      <w:pPr>
        <w:pStyle w:val="ListBullet"/>
      </w:pPr>
      <w:r>
        <w:t>Assign remediation tasks to owners</w:t>
      </w:r>
    </w:p>
    <w:p>
      <w:pPr>
        <w:pStyle w:val="ListBullet"/>
      </w:pPr>
      <w:r>
        <w:t>Track task progress and completion</w:t>
      </w:r>
    </w:p>
    <w:p>
      <w:pPr>
        <w:pStyle w:val="ListBullet"/>
      </w:pPr>
      <w:r>
        <w:t>Automated reminders for pending tasks</w:t>
      </w:r>
    </w:p>
    <w:p>
      <w:pPr>
        <w:pStyle w:val="ListBullet"/>
      </w:pPr>
      <w:r>
        <w:t>Integration with task management systems</w:t>
      </w:r>
    </w:p>
    <w:p>
      <w:pPr>
        <w:pStyle w:val="Heading2"/>
        <w:spacing w:before="200" w:after="120"/>
      </w:pPr>
      <w:r>
        <w:t>13.3 Audit Trail &amp; History</w:t>
      </w:r>
    </w:p>
    <w:p>
      <w:pPr>
        <w:spacing w:after="120"/>
      </w:pPr>
      <w:r>
        <w:t>Comprehensive Change Tracking:</w:t>
      </w:r>
    </w:p>
    <w:p>
      <w:pPr>
        <w:pStyle w:val="ListBullet"/>
      </w:pPr>
      <w:r>
        <w:t>Complete audit log of all system changes</w:t>
      </w:r>
    </w:p>
    <w:p>
      <w:pPr>
        <w:pStyle w:val="ListBullet"/>
      </w:pPr>
      <w:r>
        <w:t>User activity tracking (who did what, when)</w:t>
      </w:r>
    </w:p>
    <w:p>
      <w:pPr>
        <w:pStyle w:val="ListBullet"/>
      </w:pPr>
      <w:r>
        <w:t>Risk score change history with reasons</w:t>
      </w:r>
    </w:p>
    <w:p>
      <w:pPr>
        <w:pStyle w:val="ListBullet"/>
      </w:pPr>
      <w:r>
        <w:t>Control modification history</w:t>
      </w:r>
    </w:p>
    <w:p>
      <w:pPr>
        <w:pStyle w:val="ListBullet"/>
      </w:pPr>
      <w:r>
        <w:t>Assessment period comparison history</w:t>
      </w:r>
    </w:p>
    <w:p>
      <w:pPr>
        <w:spacing w:after="120"/>
      </w:pPr>
    </w:p>
    <w:p>
      <w:pPr>
        <w:spacing w:after="120"/>
      </w:pPr>
      <w:r>
        <w:t>Compliance Documentation:</w:t>
      </w:r>
    </w:p>
    <w:p>
      <w:pPr>
        <w:pStyle w:val="ListBullet"/>
      </w:pPr>
      <w:r>
        <w:t>Document repository linked to obligations</w:t>
      </w:r>
    </w:p>
    <w:p>
      <w:pPr>
        <w:pStyle w:val="ListBullet"/>
      </w:pPr>
      <w:r>
        <w:t>Version control for compliance policies</w:t>
      </w:r>
    </w:p>
    <w:p>
      <w:pPr>
        <w:pStyle w:val="ListBullet"/>
      </w:pPr>
      <w:r>
        <w:t>Evidence attachment for control testing</w:t>
      </w:r>
    </w:p>
    <w:p>
      <w:pPr>
        <w:pStyle w:val="ListBullet"/>
      </w:pPr>
      <w:r>
        <w:t>Audit finding documentation and tracking</w:t>
      </w:r>
    </w:p>
    <w:p>
      <w:pPr>
        <w:pStyle w:val="Heading2"/>
        <w:spacing w:before="200" w:after="120"/>
      </w:pPr>
      <w:r>
        <w:t>13.4 Export &amp; Reporting Capabilities</w:t>
      </w:r>
    </w:p>
    <w:p>
      <w:pPr>
        <w:spacing w:after="120"/>
      </w:pPr>
      <w:r>
        <w:t>Export Formats:</w:t>
      </w:r>
    </w:p>
    <w:p>
      <w:pPr>
        <w:pStyle w:val="ListBullet"/>
      </w:pPr>
      <w:r>
        <w:t>PDF reports with executive summaries and detailed appendices</w:t>
      </w:r>
    </w:p>
    <w:p>
      <w:pPr>
        <w:pStyle w:val="ListBullet"/>
      </w:pPr>
      <w:r>
        <w:t>Excel exports for further analysis</w:t>
      </w:r>
    </w:p>
    <w:p>
      <w:pPr>
        <w:pStyle w:val="ListBullet"/>
      </w:pPr>
      <w:r>
        <w:t>PowerPoint export for board presentations</w:t>
      </w:r>
    </w:p>
    <w:p>
      <w:pPr>
        <w:pStyle w:val="ListBullet"/>
      </w:pPr>
      <w:r>
        <w:t>CSV data exports for custom analytics</w:t>
      </w:r>
    </w:p>
    <w:p>
      <w:pPr>
        <w:spacing w:after="120"/>
      </w:pPr>
    </w:p>
    <w:p>
      <w:pPr>
        <w:spacing w:after="120"/>
      </w:pPr>
      <w:r>
        <w:t>Custom Report Builder:</w:t>
      </w:r>
    </w:p>
    <w:p>
      <w:pPr>
        <w:pStyle w:val="ListBullet"/>
      </w:pPr>
      <w:r>
        <w:t>Drag-and-drop report designer</w:t>
      </w:r>
    </w:p>
    <w:p>
      <w:pPr>
        <w:pStyle w:val="ListBullet"/>
      </w:pPr>
      <w:r>
        <w:t>Pre-built templates for common reports</w:t>
      </w:r>
    </w:p>
    <w:p>
      <w:pPr>
        <w:pStyle w:val="ListBullet"/>
      </w:pPr>
      <w:r>
        <w:t>Scheduled report generation</w:t>
      </w:r>
    </w:p>
    <w:p>
      <w:pPr>
        <w:pStyle w:val="ListBullet"/>
      </w:pPr>
      <w:r>
        <w:t>Distribution list management</w:t>
      </w:r>
    </w:p>
    <w:p>
      <w:pPr>
        <w:pStyle w:val="Heading2"/>
        <w:spacing w:before="200" w:after="120"/>
      </w:pPr>
      <w:r>
        <w:t>13.5 Integration Capabilities</w:t>
      </w:r>
    </w:p>
    <w:p>
      <w:pPr>
        <w:spacing w:after="120"/>
      </w:pPr>
      <w:r>
        <w:t>System Integrations (Future Production):</w:t>
      </w:r>
    </w:p>
    <w:p>
      <w:pPr>
        <w:pStyle w:val="ListBullet"/>
      </w:pPr>
      <w:r>
        <w:t>Core Banking Systems - Automated data feeds for transaction volumes, accounts</w:t>
      </w:r>
    </w:p>
    <w:p>
      <w:pPr>
        <w:pStyle w:val="ListBullet"/>
      </w:pPr>
      <w:r>
        <w:t>HRMS - Employee data for ownership and segregation of duties</w:t>
      </w:r>
    </w:p>
    <w:p>
      <w:pPr>
        <w:pStyle w:val="ListBullet"/>
      </w:pPr>
      <w:r>
        <w:t>Document Management - Link compliance documents to obligations</w:t>
      </w:r>
    </w:p>
    <w:p>
      <w:pPr>
        <w:pStyle w:val="ListBullet"/>
      </w:pPr>
      <w:r>
        <w:t>GRC Tools - Integration with existing risk management tools</w:t>
      </w:r>
    </w:p>
    <w:p>
      <w:pPr>
        <w:pStyle w:val="ListBullet"/>
      </w:pPr>
      <w:r>
        <w:t>Email Systems - Notification and communication integration</w:t>
      </w:r>
    </w:p>
    <w:p>
      <w:pPr>
        <w:pStyle w:val="ListBullet"/>
      </w:pPr>
      <w:r>
        <w:t>BI Tools - Data export to Tableau, Power BI, etc.</w:t>
      </w:r>
    </w:p>
    <w:p>
      <w:pPr>
        <w:pStyle w:val="Heading2"/>
        <w:spacing w:before="200" w:after="120"/>
      </w:pPr>
      <w:r>
        <w:t>13.6 Advanced Analytics</w:t>
      </w:r>
    </w:p>
    <w:p>
      <w:pPr>
        <w:spacing w:after="120"/>
      </w:pPr>
      <w:r>
        <w:t>Predictive Analytics:</w:t>
      </w:r>
    </w:p>
    <w:p>
      <w:pPr>
        <w:pStyle w:val="ListBullet"/>
      </w:pPr>
      <w:r>
        <w:t>Machine learning models to predict risk trends</w:t>
      </w:r>
    </w:p>
    <w:p>
      <w:pPr>
        <w:pStyle w:val="ListBullet"/>
      </w:pPr>
      <w:r>
        <w:t>Anomaly detection for unusual control performance patterns</w:t>
      </w:r>
    </w:p>
    <w:p>
      <w:pPr>
        <w:pStyle w:val="ListBullet"/>
      </w:pPr>
      <w:r>
        <w:t>Risk forecasting based on historical data</w:t>
      </w:r>
    </w:p>
    <w:p>
      <w:pPr>
        <w:pStyle w:val="ListBullet"/>
      </w:pPr>
      <w:r>
        <w:t>Predictive control failure analysis</w:t>
      </w:r>
    </w:p>
    <w:p>
      <w:pPr>
        <w:spacing w:after="120"/>
      </w:pPr>
    </w:p>
    <w:p>
      <w:pPr>
        <w:spacing w:after="120"/>
      </w:pPr>
      <w:r>
        <w:t>Benchmarking:</w:t>
      </w:r>
    </w:p>
    <w:p>
      <w:pPr>
        <w:pStyle w:val="ListBullet"/>
      </w:pPr>
      <w:r>
        <w:t>Peer comparison across Assessment Units</w:t>
      </w:r>
    </w:p>
    <w:p>
      <w:pPr>
        <w:pStyle w:val="ListBullet"/>
      </w:pPr>
      <w:r>
        <w:t>Industry benchmarking (anonymized data sharing)</w:t>
      </w:r>
    </w:p>
    <w:p>
      <w:pPr>
        <w:pStyle w:val="ListBullet"/>
      </w:pPr>
      <w:r>
        <w:t>Best practice identification</w:t>
      </w:r>
    </w:p>
    <w:p>
      <w:pPr>
        <w:pStyle w:val="Heading2"/>
        <w:spacing w:before="200" w:after="120"/>
      </w:pPr>
      <w:r>
        <w:t>13.7 Mobile Application</w:t>
      </w:r>
    </w:p>
    <w:p>
      <w:pPr>
        <w:spacing w:after="120"/>
      </w:pPr>
      <w:r>
        <w:t>Mobile Features:</w:t>
      </w:r>
    </w:p>
    <w:p>
      <w:pPr>
        <w:pStyle w:val="ListBullet"/>
      </w:pPr>
      <w:r>
        <w:t>iOS and Android native apps</w:t>
      </w:r>
    </w:p>
    <w:p>
      <w:pPr>
        <w:pStyle w:val="ListBullet"/>
      </w:pPr>
      <w:r>
        <w:t>Risk dashboard on mobile</w:t>
      </w:r>
    </w:p>
    <w:p>
      <w:pPr>
        <w:pStyle w:val="ListBullet"/>
      </w:pPr>
      <w:r>
        <w:t>Alerts and notifications</w:t>
      </w:r>
    </w:p>
    <w:p>
      <w:pPr>
        <w:pStyle w:val="ListBullet"/>
      </w:pPr>
      <w:r>
        <w:t>Quick approval workflows</w:t>
      </w:r>
    </w:p>
    <w:p>
      <w:pPr>
        <w:pStyle w:val="ListBullet"/>
      </w:pPr>
      <w:r>
        <w:t>Offline capability for field audits</w:t>
      </w:r>
    </w:p>
    <w:p>
      <w:pPr>
        <w:pStyle w:val="Heading2"/>
        <w:spacing w:before="200" w:after="120"/>
      </w:pPr>
      <w:r>
        <w:t>13.8 Advanced User Management</w:t>
      </w:r>
    </w:p>
    <w:p>
      <w:pPr>
        <w:spacing w:after="120"/>
      </w:pPr>
      <w:r>
        <w:t>Enterprise Features:</w:t>
      </w:r>
    </w:p>
    <w:p>
      <w:pPr>
        <w:pStyle w:val="ListBullet"/>
      </w:pPr>
      <w:r>
        <w:t>Role-based access control (RBAC)</w:t>
      </w:r>
    </w:p>
    <w:p>
      <w:pPr>
        <w:pStyle w:val="ListBullet"/>
      </w:pPr>
      <w:r>
        <w:t>Multi-factor authentication (MFA)</w:t>
      </w:r>
    </w:p>
    <w:p>
      <w:pPr>
        <w:pStyle w:val="ListBullet"/>
      </w:pPr>
      <w:r>
        <w:t>Single Sign-On (SSO) integration</w:t>
      </w:r>
    </w:p>
    <w:p>
      <w:pPr>
        <w:pStyle w:val="ListBullet"/>
      </w:pPr>
      <w:r>
        <w:t>Delegated administration</w:t>
      </w:r>
    </w:p>
    <w:p>
      <w:pPr>
        <w:pStyle w:val="ListBullet"/>
      </w:pPr>
      <w:r>
        <w:t>User activity analytics</w:t>
      </w:r>
    </w:p>
    <w:p>
      <w:r>
        <w:br w:type="page"/>
      </w:r>
    </w:p>
    <w:p>
      <w:pPr>
        <w:pStyle w:val="Heading1"/>
        <w:spacing w:before="280" w:after="120"/>
      </w:pPr>
      <w:r>
        <w:t>Appendix A: Key RBI Regulatory References</w:t>
      </w:r>
    </w:p>
    <w:p>
      <w:pPr>
        <w:spacing w:after="120"/>
      </w:pPr>
      <w:r>
        <w:t>This appendix lists key RBI regulations incorporated in the CRAF framework.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Regulation</w:t>
            </w:r>
          </w:p>
        </w:tc>
        <w:tc>
          <w:tcPr>
            <w:tcW w:type="dxa" w:w="2880"/>
          </w:tcPr>
          <w:p>
            <w:r>
              <w:t>Reference</w:t>
            </w:r>
          </w:p>
        </w:tc>
        <w:tc>
          <w:tcPr>
            <w:tcW w:type="dxa" w:w="2880"/>
          </w:tcPr>
          <w:p>
            <w:r>
              <w:t>Key Requirements</w:t>
            </w:r>
          </w:p>
        </w:tc>
      </w:tr>
      <w:tr>
        <w:tc>
          <w:tcPr>
            <w:tcW w:type="dxa" w:w="2880"/>
          </w:tcPr>
          <w:p>
            <w:r>
              <w:t>Risk Management &amp; Inter-Bank Dealings</w:t>
            </w:r>
          </w:p>
        </w:tc>
        <w:tc>
          <w:tcPr>
            <w:tcW w:type="dxa" w:w="2880"/>
          </w:tcPr>
          <w:p>
            <w:r>
              <w:t>RBI/2016-17/76</w:t>
            </w:r>
          </w:p>
        </w:tc>
        <w:tc>
          <w:tcPr>
            <w:tcW w:type="dxa" w:w="2880"/>
          </w:tcPr>
          <w:p>
            <w:r>
              <w:t>Risk governance, risk appetite framework, risk culture</w:t>
            </w:r>
          </w:p>
        </w:tc>
      </w:tr>
      <w:tr>
        <w:tc>
          <w:tcPr>
            <w:tcW w:type="dxa" w:w="2880"/>
          </w:tcPr>
          <w:p>
            <w:r>
              <w:t>Corporate Governance</w:t>
            </w:r>
          </w:p>
        </w:tc>
        <w:tc>
          <w:tcPr>
            <w:tcW w:type="dxa" w:w="2880"/>
          </w:tcPr>
          <w:p>
            <w:r>
              <w:t>RBI/2021-22/25</w:t>
            </w:r>
          </w:p>
        </w:tc>
        <w:tc>
          <w:tcPr>
            <w:tcW w:type="dxa" w:w="2880"/>
          </w:tcPr>
          <w:p>
            <w:r>
              <w:t>Board responsibilities, management committees, fit &amp; proper criteria</w:t>
            </w:r>
          </w:p>
        </w:tc>
      </w:tr>
      <w:tr>
        <w:tc>
          <w:tcPr>
            <w:tcW w:type="dxa" w:w="2880"/>
          </w:tcPr>
          <w:p>
            <w:r>
              <w:t>Cyber Security Framework</w:t>
            </w:r>
          </w:p>
        </w:tc>
        <w:tc>
          <w:tcPr>
            <w:tcW w:type="dxa" w:w="2880"/>
          </w:tcPr>
          <w:p>
            <w:r>
              <w:t>RBI/2016-17/05</w:t>
            </w:r>
          </w:p>
        </w:tc>
        <w:tc>
          <w:tcPr>
            <w:tcW w:type="dxa" w:w="2880"/>
          </w:tcPr>
          <w:p>
            <w:r>
              <w:t>Cybersecurity policy, baseline security, incident response</w:t>
            </w:r>
          </w:p>
        </w:tc>
      </w:tr>
      <w:tr>
        <w:tc>
          <w:tcPr>
            <w:tcW w:type="dxa" w:w="2880"/>
          </w:tcPr>
          <w:p>
            <w:r>
              <w:t>KYC/AML Standards</w:t>
            </w:r>
          </w:p>
        </w:tc>
        <w:tc>
          <w:tcPr>
            <w:tcW w:type="dxa" w:w="2880"/>
          </w:tcPr>
          <w:p>
            <w:r>
              <w:t>RBI/2016-17/11</w:t>
            </w:r>
          </w:p>
        </w:tc>
        <w:tc>
          <w:tcPr>
            <w:tcW w:type="dxa" w:w="2880"/>
          </w:tcPr>
          <w:p>
            <w:r>
              <w:t>Customer due diligence, ongoing monitoring, PEP identification</w:t>
            </w:r>
          </w:p>
        </w:tc>
      </w:tr>
      <w:tr>
        <w:tc>
          <w:tcPr>
            <w:tcW w:type="dxa" w:w="2880"/>
          </w:tcPr>
          <w:p>
            <w:r>
              <w:t>Internal Capital Adequacy Assessment (ICAAP)</w:t>
            </w:r>
          </w:p>
        </w:tc>
        <w:tc>
          <w:tcPr>
            <w:tcW w:type="dxa" w:w="2880"/>
          </w:tcPr>
          <w:p>
            <w:r>
              <w:t>Basel II/III Framework</w:t>
            </w:r>
          </w:p>
        </w:tc>
        <w:tc>
          <w:tcPr>
            <w:tcW w:type="dxa" w:w="2880"/>
          </w:tcPr>
          <w:p>
            <w:r>
              <w:t>Capital planning, stress testing, risk measurement</w:t>
            </w:r>
          </w:p>
        </w:tc>
      </w:tr>
      <w:tr>
        <w:tc>
          <w:tcPr>
            <w:tcW w:type="dxa" w:w="2880"/>
          </w:tcPr>
          <w:p>
            <w:r>
              <w:t>Regulatory Returns - DSB</w:t>
            </w:r>
          </w:p>
        </w:tc>
        <w:tc>
          <w:tcPr>
            <w:tcW w:type="dxa" w:w="2880"/>
          </w:tcPr>
          <w:p>
            <w:r>
              <w:t>Monthly/Quarterly</w:t>
            </w:r>
          </w:p>
        </w:tc>
        <w:tc>
          <w:tcPr>
            <w:tcW w:type="dxa" w:w="2880"/>
          </w:tcPr>
          <w:p>
            <w:r>
              <w:t>Balance sheet data, asset quality, capital adequacy</w:t>
            </w:r>
          </w:p>
        </w:tc>
      </w:tr>
      <w:tr>
        <w:tc>
          <w:tcPr>
            <w:tcW w:type="dxa" w:w="2880"/>
          </w:tcPr>
          <w:p>
            <w:r>
              <w:t>Asset Liability Management (ALM)</w:t>
            </w:r>
          </w:p>
        </w:tc>
        <w:tc>
          <w:tcPr>
            <w:tcW w:type="dxa" w:w="2880"/>
          </w:tcPr>
          <w:p>
            <w:r>
              <w:t>RBI/1999/147</w:t>
            </w:r>
          </w:p>
        </w:tc>
        <w:tc>
          <w:tcPr>
            <w:tcW w:type="dxa" w:w="2880"/>
          </w:tcPr>
          <w:p>
            <w:r>
              <w:t>Liquidity risk, interest rate risk, maturity profiling</w:t>
            </w:r>
          </w:p>
        </w:tc>
      </w:tr>
      <w:tr>
        <w:tc>
          <w:tcPr>
            <w:tcW w:type="dxa" w:w="2880"/>
          </w:tcPr>
          <w:p>
            <w:r>
              <w:t>Income Recognition &amp; Asset Classification (IRAC)</w:t>
            </w:r>
          </w:p>
        </w:tc>
        <w:tc>
          <w:tcPr>
            <w:tcW w:type="dxa" w:w="2880"/>
          </w:tcPr>
          <w:p>
            <w:r>
              <w:t>RBI/2021-22/49</w:t>
            </w:r>
          </w:p>
        </w:tc>
        <w:tc>
          <w:tcPr>
            <w:tcW w:type="dxa" w:w="2880"/>
          </w:tcPr>
          <w:p>
            <w:r>
              <w:t>NPA classification, provisioning norms, restructuring</w:t>
            </w:r>
          </w:p>
        </w:tc>
      </w:tr>
      <w:tr>
        <w:tc>
          <w:tcPr>
            <w:tcW w:type="dxa" w:w="2880"/>
          </w:tcPr>
          <w:p>
            <w:r>
              <w:t>Outsourcing Guidelines</w:t>
            </w:r>
          </w:p>
        </w:tc>
        <w:tc>
          <w:tcPr>
            <w:tcW w:type="dxa" w:w="2880"/>
          </w:tcPr>
          <w:p>
            <w:r>
              <w:t>RBI/2006-07/374</w:t>
            </w:r>
          </w:p>
        </w:tc>
        <w:tc>
          <w:tcPr>
            <w:tcW w:type="dxa" w:w="2880"/>
          </w:tcPr>
          <w:p>
            <w:r>
              <w:t>Vendor management, data security, business continuity</w:t>
            </w:r>
          </w:p>
        </w:tc>
      </w:tr>
      <w:tr>
        <w:tc>
          <w:tcPr>
            <w:tcW w:type="dxa" w:w="2880"/>
          </w:tcPr>
          <w:p>
            <w:r>
              <w:t>Fraud Monitoring &amp; Reporting</w:t>
            </w:r>
          </w:p>
        </w:tc>
        <w:tc>
          <w:tcPr>
            <w:tcW w:type="dxa" w:w="2880"/>
          </w:tcPr>
          <w:p>
            <w:r>
              <w:t>RBI Circulars</w:t>
            </w:r>
          </w:p>
        </w:tc>
        <w:tc>
          <w:tcPr>
            <w:tcW w:type="dxa" w:w="2880"/>
          </w:tcPr>
          <w:p>
            <w:r>
              <w:t>Fraud detection, reporting to RBI, preventive measures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t>Appendix B: Glossary of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Assessment Unit (AU)</w:t>
            </w:r>
          </w:p>
        </w:tc>
        <w:tc>
          <w:tcPr>
            <w:tcW w:type="dxa" w:w="4320"/>
          </w:tcPr>
          <w:p>
            <w:r>
              <w:t>A business unit, functional area, or process being assessed for risk</w:t>
            </w:r>
          </w:p>
        </w:tc>
      </w:tr>
      <w:tr>
        <w:tc>
          <w:tcPr>
            <w:tcW w:type="dxa" w:w="4320"/>
          </w:tcPr>
          <w:p>
            <w:r>
              <w:t>CER</w:t>
            </w:r>
          </w:p>
        </w:tc>
        <w:tc>
          <w:tcPr>
            <w:tcW w:type="dxa" w:w="4320"/>
          </w:tcPr>
          <w:p>
            <w:r>
              <w:t>Control Environment Rating = CQI × CPI</w:t>
            </w:r>
          </w:p>
        </w:tc>
      </w:tr>
      <w:tr>
        <w:tc>
          <w:tcPr>
            <w:tcW w:type="dxa" w:w="4320"/>
          </w:tcPr>
          <w:p>
            <w:r>
              <w:t>CPA</w:t>
            </w:r>
          </w:p>
        </w:tc>
        <w:tc>
          <w:tcPr>
            <w:tcW w:type="dxa" w:w="4320"/>
          </w:tcPr>
          <w:p>
            <w:r>
              <w:t>Control Performance Assessment - evaluation of control operating effectiveness</w:t>
            </w:r>
          </w:p>
        </w:tc>
      </w:tr>
      <w:tr>
        <w:tc>
          <w:tcPr>
            <w:tcW w:type="dxa" w:w="4320"/>
          </w:tcPr>
          <w:p>
            <w:r>
              <w:t>CPI</w:t>
            </w:r>
          </w:p>
        </w:tc>
        <w:tc>
          <w:tcPr>
            <w:tcW w:type="dxa" w:w="4320"/>
          </w:tcPr>
          <w:p>
            <w:r>
              <w:t>Control Performance Index - overall measure of control performance</w:t>
            </w:r>
          </w:p>
        </w:tc>
      </w:tr>
      <w:tr>
        <w:tc>
          <w:tcPr>
            <w:tcW w:type="dxa" w:w="4320"/>
          </w:tcPr>
          <w:p>
            <w:r>
              <w:t>CQA</w:t>
            </w:r>
          </w:p>
        </w:tc>
        <w:tc>
          <w:tcPr>
            <w:tcW w:type="dxa" w:w="4320"/>
          </w:tcPr>
          <w:p>
            <w:r>
              <w:t>Control Quality Assessment - evaluation of control design effectiveness</w:t>
            </w:r>
          </w:p>
        </w:tc>
      </w:tr>
      <w:tr>
        <w:tc>
          <w:tcPr>
            <w:tcW w:type="dxa" w:w="4320"/>
          </w:tcPr>
          <w:p>
            <w:r>
              <w:t>CQI</w:t>
            </w:r>
          </w:p>
        </w:tc>
        <w:tc>
          <w:tcPr>
            <w:tcW w:type="dxa" w:w="4320"/>
          </w:tcPr>
          <w:p>
            <w:r>
              <w:t>Control Quality Index - overall measure of control design quality</w:t>
            </w:r>
          </w:p>
        </w:tc>
      </w:tr>
      <w:tr>
        <w:tc>
          <w:tcPr>
            <w:tcW w:type="dxa" w:w="4320"/>
          </w:tcPr>
          <w:p>
            <w:r>
              <w:t>CRAF</w:t>
            </w:r>
          </w:p>
        </w:tc>
        <w:tc>
          <w:tcPr>
            <w:tcW w:type="dxa" w:w="4320"/>
          </w:tcPr>
          <w:p>
            <w:r>
              <w:t>Converged Risk Assessment Framework - integrated compliance and ICOFR risk assessment</w:t>
            </w:r>
          </w:p>
        </w:tc>
      </w:tr>
      <w:tr>
        <w:tc>
          <w:tcPr>
            <w:tcW w:type="dxa" w:w="4320"/>
          </w:tcPr>
          <w:p>
            <w:r>
              <w:t>DSB</w:t>
            </w:r>
          </w:p>
        </w:tc>
        <w:tc>
          <w:tcPr>
            <w:tcW w:type="dxa" w:w="4320"/>
          </w:tcPr>
          <w:p>
            <w:r>
              <w:t>Data Structure for Banks - RBI regulatory return submission</w:t>
            </w:r>
          </w:p>
        </w:tc>
      </w:tr>
      <w:tr>
        <w:tc>
          <w:tcPr>
            <w:tcW w:type="dxa" w:w="4320"/>
          </w:tcPr>
          <w:p>
            <w:r>
              <w:t>GCCO</w:t>
            </w:r>
          </w:p>
        </w:tc>
        <w:tc>
          <w:tcPr>
            <w:tcW w:type="dxa" w:w="4320"/>
          </w:tcPr>
          <w:p>
            <w:r>
              <w:t>Group Chief Compliance Officer</w:t>
            </w:r>
          </w:p>
        </w:tc>
      </w:tr>
      <w:tr>
        <w:tc>
          <w:tcPr>
            <w:tcW w:type="dxa" w:w="4320"/>
          </w:tcPr>
          <w:p>
            <w:r>
              <w:t>GRC</w:t>
            </w:r>
          </w:p>
        </w:tc>
        <w:tc>
          <w:tcPr>
            <w:tcW w:type="dxa" w:w="4320"/>
          </w:tcPr>
          <w:p>
            <w:r>
              <w:t>Governance, Risk, and Compliance</w:t>
            </w:r>
          </w:p>
        </w:tc>
      </w:tr>
      <w:tr>
        <w:tc>
          <w:tcPr>
            <w:tcW w:type="dxa" w:w="4320"/>
          </w:tcPr>
          <w:p>
            <w:r>
              <w:t>ICAAP</w:t>
            </w:r>
          </w:p>
        </w:tc>
        <w:tc>
          <w:tcPr>
            <w:tcW w:type="dxa" w:w="4320"/>
          </w:tcPr>
          <w:p>
            <w:r>
              <w:t>Internal Capital Adequacy Assessment Process</w:t>
            </w:r>
          </w:p>
        </w:tc>
      </w:tr>
      <w:tr>
        <w:tc>
          <w:tcPr>
            <w:tcW w:type="dxa" w:w="4320"/>
          </w:tcPr>
          <w:p>
            <w:r>
              <w:t>ICOFR</w:t>
            </w:r>
          </w:p>
        </w:tc>
        <w:tc>
          <w:tcPr>
            <w:tcW w:type="dxa" w:w="4320"/>
          </w:tcPr>
          <w:p>
            <w:r>
              <w:t>Internal Controls over Financial Reporting (similar to SOX compliance)</w:t>
            </w:r>
          </w:p>
        </w:tc>
      </w:tr>
      <w:tr>
        <w:tc>
          <w:tcPr>
            <w:tcW w:type="dxa" w:w="4320"/>
          </w:tcPr>
          <w:p>
            <w:r>
              <w:t>Inherent Risk</w:t>
            </w:r>
          </w:p>
        </w:tc>
        <w:tc>
          <w:tcPr>
            <w:tcW w:type="dxa" w:w="4320"/>
          </w:tcPr>
          <w:p>
            <w:r>
              <w:t>Risk before considering controls (Likelihood × Impact)</w:t>
            </w:r>
          </w:p>
        </w:tc>
      </w:tr>
      <w:tr>
        <w:tc>
          <w:tcPr>
            <w:tcW w:type="dxa" w:w="4320"/>
          </w:tcPr>
          <w:p>
            <w:r>
              <w:t>IRAC</w:t>
            </w:r>
          </w:p>
        </w:tc>
        <w:tc>
          <w:tcPr>
            <w:tcW w:type="dxa" w:w="4320"/>
          </w:tcPr>
          <w:p>
            <w:r>
              <w:t>Income Recognition and Asset Classification</w:t>
            </w:r>
          </w:p>
        </w:tc>
      </w:tr>
      <w:tr>
        <w:tc>
          <w:tcPr>
            <w:tcW w:type="dxa" w:w="4320"/>
          </w:tcPr>
          <w:p>
            <w:r>
              <w:t>KCI</w:t>
            </w:r>
          </w:p>
        </w:tc>
        <w:tc>
          <w:tcPr>
            <w:tcW w:type="dxa" w:w="4320"/>
          </w:tcPr>
          <w:p>
            <w:r>
              <w:t>Key Compliance Indicator - metric used to monitor compliance effectiveness</w:t>
            </w:r>
          </w:p>
        </w:tc>
      </w:tr>
      <w:tr>
        <w:tc>
          <w:tcPr>
            <w:tcW w:type="dxa" w:w="4320"/>
          </w:tcPr>
          <w:p>
            <w:r>
              <w:t>NPA</w:t>
            </w:r>
          </w:p>
        </w:tc>
        <w:tc>
          <w:tcPr>
            <w:tcW w:type="dxa" w:w="4320"/>
          </w:tcPr>
          <w:p>
            <w:r>
              <w:t>Non-Performing Asset</w:t>
            </w:r>
          </w:p>
        </w:tc>
      </w:tr>
      <w:tr>
        <w:tc>
          <w:tcPr>
            <w:tcW w:type="dxa" w:w="4320"/>
          </w:tcPr>
          <w:p>
            <w:r>
              <w:t>RBI</w:t>
            </w:r>
          </w:p>
        </w:tc>
        <w:tc>
          <w:tcPr>
            <w:tcW w:type="dxa" w:w="4320"/>
          </w:tcPr>
          <w:p>
            <w:r>
              <w:t>Reserve Bank of India - India's central bank and banking regulator</w:t>
            </w:r>
          </w:p>
        </w:tc>
      </w:tr>
      <w:tr>
        <w:tc>
          <w:tcPr>
            <w:tcW w:type="dxa" w:w="4320"/>
          </w:tcPr>
          <w:p>
            <w:r>
              <w:t>RCM</w:t>
            </w:r>
          </w:p>
        </w:tc>
        <w:tc>
          <w:tcPr>
            <w:tcW w:type="dxa" w:w="4320"/>
          </w:tcPr>
          <w:p>
            <w:r>
              <w:t>Risk &amp; Control Matrix - documentation of risks and associated controls</w:t>
            </w:r>
          </w:p>
        </w:tc>
      </w:tr>
      <w:tr>
        <w:tc>
          <w:tcPr>
            <w:tcW w:type="dxa" w:w="4320"/>
          </w:tcPr>
          <w:p>
            <w:r>
              <w:t>Residual Risk</w:t>
            </w:r>
          </w:p>
        </w:tc>
        <w:tc>
          <w:tcPr>
            <w:tcW w:type="dxa" w:w="4320"/>
          </w:tcPr>
          <w:p>
            <w:r>
              <w:t>Risk remaining after controls are applied (Inherent Risk ÷ CER)</w:t>
            </w:r>
          </w:p>
        </w:tc>
      </w:tr>
      <w:tr>
        <w:tc>
          <w:tcPr>
            <w:tcW w:type="dxa" w:w="4320"/>
          </w:tcPr>
          <w:p>
            <w:r>
              <w:t>Theme</w:t>
            </w:r>
          </w:p>
        </w:tc>
        <w:tc>
          <w:tcPr>
            <w:tcW w:type="dxa" w:w="4320"/>
          </w:tcPr>
          <w:p>
            <w:r>
              <w:t>Grouping of related Assessment Units (e.g., Retail Banking, Treasury)</w:t>
            </w:r>
          </w:p>
        </w:tc>
      </w:tr>
      <w:tr>
        <w:tc>
          <w:tcPr>
            <w:tcW w:type="dxa" w:w="4320"/>
          </w:tcPr>
          <w:p>
            <w:r>
              <w:t>ALM</w:t>
            </w:r>
          </w:p>
        </w:tc>
        <w:tc>
          <w:tcPr>
            <w:tcW w:type="dxa" w:w="4320"/>
          </w:tcPr>
          <w:p>
            <w:r>
              <w:t>Asset Liability Management</w:t>
            </w:r>
          </w:p>
        </w:tc>
      </w:tr>
      <w:tr>
        <w:tc>
          <w:tcPr>
            <w:tcW w:type="dxa" w:w="4320"/>
          </w:tcPr>
          <w:p>
            <w:r>
              <w:t>KYC</w:t>
            </w:r>
          </w:p>
        </w:tc>
        <w:tc>
          <w:tcPr>
            <w:tcW w:type="dxa" w:w="4320"/>
          </w:tcPr>
          <w:p>
            <w:r>
              <w:t>Know Your Customer</w:t>
            </w:r>
          </w:p>
        </w:tc>
      </w:tr>
      <w:tr>
        <w:tc>
          <w:tcPr>
            <w:tcW w:type="dxa" w:w="4320"/>
          </w:tcPr>
          <w:p>
            <w:r>
              <w:t>AML</w:t>
            </w:r>
          </w:p>
        </w:tc>
        <w:tc>
          <w:tcPr>
            <w:tcW w:type="dxa" w:w="4320"/>
          </w:tcPr>
          <w:p>
            <w:r>
              <w:t>Anti-Money Laundering</w:t>
            </w:r>
          </w:p>
        </w:tc>
      </w:tr>
      <w:tr>
        <w:tc>
          <w:tcPr>
            <w:tcW w:type="dxa" w:w="4320"/>
          </w:tcPr>
          <w:p>
            <w:r>
              <w:t>NBFC</w:t>
            </w:r>
          </w:p>
        </w:tc>
        <w:tc>
          <w:tcPr>
            <w:tcW w:type="dxa" w:w="4320"/>
          </w:tcPr>
          <w:p>
            <w:r>
              <w:t>Non-Banking Financial Company</w:t>
            </w:r>
          </w:p>
        </w:tc>
      </w:tr>
      <w:tr>
        <w:tc>
          <w:tcPr>
            <w:tcW w:type="dxa" w:w="4320"/>
          </w:tcPr>
          <w:p>
            <w:r>
              <w:t>POC</w:t>
            </w:r>
          </w:p>
        </w:tc>
        <w:tc>
          <w:tcPr>
            <w:tcW w:type="dxa" w:w="4320"/>
          </w:tcPr>
          <w:p>
            <w:r>
              <w:t>Proof of Concept</w:t>
            </w:r>
          </w:p>
        </w:tc>
      </w:tr>
    </w:tbl>
    <w:p>
      <w:r>
        <w:br w:type="page"/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--- End of Business Requirements Document ---</w:t>
      </w:r>
    </w:p>
    <w:p>
      <w:pPr>
        <w:spacing w:after="120"/>
      </w:pPr>
    </w:p>
    <w:p>
      <w:pPr>
        <w:spacing w:after="120"/>
      </w:pPr>
    </w:p>
    <w:p>
      <w:pPr>
        <w:spacing w:after="120"/>
        <w:jc w:val="center"/>
      </w:pPr>
      <w:r>
        <w:rPr>
          <w:i/>
        </w:rPr>
        <w:t>This comprehensive BRD provides all specifications needed for successful CRAF prototype development.</w:t>
        <w:br/>
      </w:r>
      <w:r>
        <w:rPr>
          <w:i/>
        </w:rPr>
        <w:t>For questions or clarifications, contact the Business Analyst.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