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Car Insurance Portfolio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Business Intelligence Internship Assignment</w:t>
      </w:r>
    </w:p>
    <w:p>
      <w:pPr>
        <w:spacing w:after="48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Data Simulation, Analytics &amp; Insights Report</w:t>
      </w:r>
    </w:p>
    <w:p>
      <w:pPr>
        <w:pStyle w:val="Heading1"/>
        <w:shd w:fill="1F3864" w:color="1F3864" w:val="solid"/>
        <w:spacing w:before="240" w:after="120"/>
        <w:rPr>
          <w:color w:val="FFFFFF"/>
        </w:rPr>
      </w:pPr>
      <w:r>
        <w:t xml:space="preserve">1. Approach &amp; Methodology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1. Approach &amp; Methodology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This assignment simulates 1,000,000 car insurance policies sold in 2024 and models the resulting claims in 2025–2026. Python (pandas/numpy) was used for data generation and analysis; results are presented in a structured Excel workbook with dashboards.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1.1 Policy Sales Simulation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1,000,000 customers spread evenly across 366 days of 2024 (leap year) → ~2,732 per day.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Policy tenure assigned by weighted random sampling: 20% / 30% / 40% / 10% for 1/2/3/4 years.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Policy_Start_Date = Purchase_Date + 365 days; Policy_End_Date = Start + tenure years.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Vehicle value fixed at ₹1,00,000; Premium = ₹100 × tenure years.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1.2 Claims Simulation — 2025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Only vehicles purchased on 7th, 14th, 21st, or 28th of any month in 2024 are eligible.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30% of eligible vehicles file exactly one claim on their Policy_Start_Date.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Eligibility checked: claim date must fall within active policy window.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1.3 Claims Simulation — 2026 (Jan 1 – Feb 28)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10% of all 4-year policy holders file a claim.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Claims distributed evenly across 59 days (≈169 per day).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Vehicles that filed in 2025 and qualify again are marked Claim_Type = 2.</w:t>
      </w:r>
    </w:p>
    <w:p>
      <w:pPr>
        <w:pStyle w:val="Heading1"/>
        <w:shd w:fill="1F3864" w:color="1F3864" w:val="solid"/>
        <w:spacing w:before="240" w:after="120"/>
        <w:rPr>
          <w:color w:val="FFFFFF"/>
        </w:rPr>
      </w:pPr>
      <w:r>
        <w:t xml:space="preserve">2. Key Assumptions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2. Key Assumptions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2024 is treated as a 366-day leap year.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'Evenly distributed' means integer floor with leftover assigned to early days.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Claim amount = 10% of vehicle value = ₹10,000 per claim.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Daily premium = Total Premium ÷ (Tenure × 365) for earned premium calculations.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46 remaining months after Feb 28, 2026 used for forward premium estimation.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'30% of vehicles on special days' — applied as random 30% sample for realism.</w:t>
      </w:r>
    </w:p>
    <w:p>
      <w:pPr>
        <w:pStyle w:val="Heading1"/>
        <w:shd w:fill="1F3864" w:color="1F3864" w:val="solid"/>
        <w:spacing w:before="240" w:after="120"/>
        <w:rPr>
          <w:color w:val="FFFFFF"/>
        </w:rPr>
      </w:pPr>
      <w:r>
        <w:t xml:space="preserve">3. Analytical Query Results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3. Analytical Query Results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Q1 — Total Premium Collected (2024)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 Premium: </w:t>
      </w:r>
      <w:r>
        <w:rPr>
          <w:rFonts w:ascii="Arial" w:cs="Arial" w:eastAsia="Arial" w:hAnsi="Arial"/>
          <w:color w:val="1F3864"/>
          <w:sz w:val="20"/>
          <w:szCs w:val="20"/>
        </w:rPr>
        <w:t xml:space="preserve">₹24,01,10,800  (≈ ₹24 Crore)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Calculated as sum of (Policy_Tenure × ₹100) across all 1M policies.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Q2 — Claim Costs by Year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F3864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</w:t>
            </w:r>
          </w:p>
        </w:tc>
        <w:tc>
          <w:tcPr>
            <w:shd w:fill="1F3864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Claim Cost</w:t>
            </w:r>
          </w:p>
        </w:tc>
        <w:tc>
          <w:tcPr>
            <w:shd w:fill="1F3864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shd w:fill="F2F2F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2025</w:t>
            </w:r>
          </w:p>
        </w:tc>
        <w:tc>
          <w:tcPr>
            <w:shd w:fill="F2F2F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₹39,34,40,000</w:t>
            </w:r>
          </w:p>
        </w:tc>
        <w:tc>
          <w:tcPr>
            <w:shd w:fill="F2F2F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39,344 claims × ₹10,000</w:t>
            </w:r>
          </w:p>
        </w:tc>
      </w:tr>
      <w:tr>
        <w:tc>
          <w:tcPr>
            <w:shd w:fill="F2F2F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</w:t>
            </w:r>
          </w:p>
        </w:tc>
        <w:tc>
          <w:tcPr>
            <w:shd w:fill="F2F2F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₹9,99,60,000</w:t>
            </w:r>
          </w:p>
        </w:tc>
        <w:tc>
          <w:tcPr>
            <w:shd w:fill="F2F2F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9,996 claims × ₹10,000</w:t>
            </w:r>
          </w:p>
        </w:tc>
      </w:tr>
      <w:tr>
        <w:tc>
          <w:tcPr>
            <w:shd w:fill="F2F2F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shd w:fill="F2F2F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₹49,34,00,000</w:t>
            </w:r>
          </w:p>
        </w:tc>
        <w:tc>
          <w:tcPr>
            <w:shd w:fill="F2F2F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Combined 2025+2026</w:t>
            </w:r>
          </w:p>
        </w:tc>
      </w:tr>
    </w:tbl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Q3 — Loss Ratio by Policy Tenure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F3864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Tenure (Yrs)</w:t>
            </w:r>
          </w:p>
        </w:tc>
        <w:tc>
          <w:tcPr>
            <w:shd w:fill="1F3864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Premium (₹)</w:t>
            </w:r>
          </w:p>
        </w:tc>
        <w:tc>
          <w:tcPr>
            <w:shd w:fill="1F3864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Claims (₹)</w:t>
            </w:r>
          </w:p>
        </w:tc>
        <w:tc>
          <w:tcPr>
            <w:shd w:fill="1F3864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Loss Ratio</w:t>
            </w:r>
          </w:p>
        </w:tc>
      </w:tr>
      <w:tr>
        <w:tc>
          <w:tcPr>
            <w:shd w:fill="F2F2F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Year</w:t>
            </w:r>
          </w:p>
        </w:tc>
        <w:tc>
          <w:tcPr>
            <w:shd w:fill="F2F2F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1,99,37,600</w:t>
            </w:r>
          </w:p>
        </w:tc>
        <w:tc>
          <w:tcPr>
            <w:shd w:fill="F2F2F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7,84,60,000</w:t>
            </w:r>
          </w:p>
        </w:tc>
        <w:tc>
          <w:tcPr>
            <w:shd w:fill="F2F2F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3.94x</w:t>
            </w:r>
          </w:p>
        </w:tc>
      </w:tr>
      <w:tr>
        <w:tc>
          <w:tcPr>
            <w:shd w:fill="F2F2F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Years</w:t>
            </w:r>
          </w:p>
        </w:tc>
        <w:tc>
          <w:tcPr>
            <w:shd w:fill="F2F2F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6,00,21,400</w:t>
            </w:r>
          </w:p>
        </w:tc>
        <w:tc>
          <w:tcPr>
            <w:shd w:fill="F2F2F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11,89,00,000</w:t>
            </w:r>
          </w:p>
        </w:tc>
        <w:tc>
          <w:tcPr>
            <w:shd w:fill="F2F2F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1.98x</w:t>
            </w:r>
          </w:p>
        </w:tc>
      </w:tr>
      <w:tr>
        <w:tc>
          <w:tcPr>
            <w:shd w:fill="F2F2F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Years</w:t>
            </w:r>
          </w:p>
        </w:tc>
        <w:tc>
          <w:tcPr>
            <w:shd w:fill="F2F2F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12,01,65,000</w:t>
            </w:r>
          </w:p>
        </w:tc>
        <w:tc>
          <w:tcPr>
            <w:shd w:fill="F2F2F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15,78,20,000</w:t>
            </w:r>
          </w:p>
        </w:tc>
        <w:tc>
          <w:tcPr>
            <w:shd w:fill="F2F2F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1.31x</w:t>
            </w:r>
          </w:p>
        </w:tc>
      </w:tr>
      <w:tr>
        <w:tc>
          <w:tcPr>
            <w:shd w:fill="F2F2F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Years</w:t>
            </w:r>
          </w:p>
        </w:tc>
        <w:tc>
          <w:tcPr>
            <w:shd w:fill="F2F2F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3,99,86,800</w:t>
            </w:r>
          </w:p>
        </w:tc>
        <w:tc>
          <w:tcPr>
            <w:shd w:fill="F2F2F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13,82,20,000</w:t>
            </w:r>
          </w:p>
        </w:tc>
        <w:tc>
          <w:tcPr>
            <w:shd w:fill="F2F2F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3.46x</w:t>
            </w:r>
          </w:p>
        </w:tc>
      </w:tr>
    </w:tbl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Q4 — Loss Ratio by Month of Policy Sale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Loss ratios are remarkably stable across all 12 months of 2024, ranging from ~2.00x to ~2.14x. This is expected because policies are sold uniformly every day and the claim-triggering rule (special dates) applies proportionally each month.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Q5 — Potential Claim Liability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Vehicles with no claim yet: </w:t>
      </w:r>
      <w:r>
        <w:rPr>
          <w:rFonts w:ascii="Arial" w:cs="Arial" w:eastAsia="Arial" w:hAnsi="Arial"/>
          <w:color w:val="1F3864"/>
          <w:sz w:val="20"/>
          <w:szCs w:val="20"/>
        </w:rPr>
        <w:t xml:space="preserve">9,51,023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Claim amount per vehicle: </w:t>
      </w:r>
      <w:r>
        <w:rPr>
          <w:rFonts w:ascii="Arial" w:cs="Arial" w:eastAsia="Arial" w:hAnsi="Arial"/>
          <w:color w:val="1F3864"/>
          <w:sz w:val="20"/>
          <w:szCs w:val="20"/>
        </w:rPr>
        <w:t xml:space="preserve">₹10,000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 Potential Liability: </w:t>
      </w:r>
      <w:r>
        <w:rPr>
          <w:rFonts w:ascii="Arial" w:cs="Arial" w:eastAsia="Arial" w:hAnsi="Arial"/>
          <w:color w:val="1F3864"/>
          <w:sz w:val="20"/>
          <w:szCs w:val="20"/>
        </w:rPr>
        <w:t xml:space="preserve">₹9,51,02,30,000  (≈ ₹951 Crore)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This represents worst-case scenario if every unclaimed vehicle eventually files one claim within their policy tenure.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Q6 — Earned Premium Analysis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Earned Premium to Feb 28 2026: </w:t>
      </w:r>
      <w:r>
        <w:rPr>
          <w:rFonts w:ascii="Arial" w:cs="Arial" w:eastAsia="Arial" w:hAnsi="Arial"/>
          <w:color w:val="1F3864"/>
          <w:sz w:val="20"/>
          <w:szCs w:val="20"/>
        </w:rPr>
        <w:t xml:space="preserve">₹6,59,02,532  (≈ ₹6.59 Crore)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Remaining Unearned Premium: </w:t>
      </w:r>
      <w:r>
        <w:rPr>
          <w:rFonts w:ascii="Arial" w:cs="Arial" w:eastAsia="Arial" w:hAnsi="Arial"/>
          <w:color w:val="1F3864"/>
          <w:sz w:val="20"/>
          <w:szCs w:val="20"/>
        </w:rPr>
        <w:t xml:space="preserve">₹17,45,12,374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Est. Monthly Premium (46 months remaining): </w:t>
      </w:r>
      <w:r>
        <w:rPr>
          <w:rFonts w:ascii="Arial" w:cs="Arial" w:eastAsia="Arial" w:hAnsi="Arial"/>
          <w:color w:val="1F3864"/>
          <w:sz w:val="20"/>
          <w:szCs w:val="20"/>
        </w:rPr>
        <w:t xml:space="preserve">₹3,79,374  per month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Policies only start earning 365 days after purchase, so only ~78% of premium has started accruing by Feb 28, 2026.</w:t>
      </w:r>
    </w:p>
    <w:p>
      <w:pPr>
        <w:pStyle w:val="Heading1"/>
        <w:shd w:fill="1F3864" w:color="1F3864" w:val="solid"/>
        <w:spacing w:before="240" w:after="120"/>
        <w:rPr>
          <w:color w:val="FFFFFF"/>
        </w:rPr>
      </w:pPr>
      <w:r>
        <w:t xml:space="preserve">4. Bonus Insights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 Bonus Insights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B1 — Most Profitable Tenure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3-Year policies are the most financially efficient for the company: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Lowest loss ratio at 1.31x — meaning for every ₹1 premium earned, ₹1.31 in claims is paid.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They generate the highest absolute premium (₹12 Crore) and are the most popular (40% of sales).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1-Year and 4-Year policies are significantly under-priced — loss ratios of 3.94x and 3.46x respectively.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→ Recommendation: Increase premiums for 1-year and 4-year products, or implement stricter underwriting criteria for short-tenure policies.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B2 — Claim Trends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2025 claims are concentrated: they spike on dates corresponding to 7th/14th/21st/28th purchase cohorts.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2026 claims are smoothly distributed (Jan–Feb) since the 10% rule applies evenly.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No claims occur outside 2025-2026 in the simulation, but potential liability for unclaimed policies is massive.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B3 — Overall Portfolio Loss Ratio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 Claims (2025+2026): </w:t>
      </w:r>
      <w:r>
        <w:rPr>
          <w:rFonts w:ascii="Arial" w:cs="Arial" w:eastAsia="Arial" w:hAnsi="Arial"/>
          <w:color w:val="1F3864"/>
          <w:sz w:val="20"/>
          <w:szCs w:val="20"/>
        </w:rPr>
        <w:t xml:space="preserve">₹49,34,00,000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 Premium 2024: </w:t>
      </w:r>
      <w:r>
        <w:rPr>
          <w:rFonts w:ascii="Arial" w:cs="Arial" w:eastAsia="Arial" w:hAnsi="Arial"/>
          <w:color w:val="1F3864"/>
          <w:sz w:val="20"/>
          <w:szCs w:val="20"/>
        </w:rPr>
        <w:t xml:space="preserve">₹24,01,10,800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Portfolio Loss Ratio: </w:t>
      </w:r>
      <w:r>
        <w:rPr>
          <w:rFonts w:ascii="Arial" w:cs="Arial" w:eastAsia="Arial" w:hAnsi="Arial"/>
          <w:color w:val="1F3864"/>
          <w:sz w:val="20"/>
          <w:szCs w:val="20"/>
        </w:rPr>
        <w:t xml:space="preserve">2.05x  — severely unprofitable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 healthy insurance loss ratio is typically 60–80%. At 205%, the portfolio is deeply unprofitable under current pricing.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B4 — Impact of 5% Annual Claim Frequency Increase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F3864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</w:t>
            </w:r>
          </w:p>
        </w:tc>
        <w:tc>
          <w:tcPr>
            <w:shd w:fill="1F3864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Claim Frequency</w:t>
            </w:r>
          </w:p>
        </w:tc>
        <w:tc>
          <w:tcPr>
            <w:shd w:fill="1F3864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Estimated Claim Cost</w:t>
            </w:r>
          </w:p>
        </w:tc>
        <w:tc>
          <w:tcPr>
            <w:shd w:fill="1F3864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vs. Premium</w:t>
            </w:r>
          </w:p>
        </w:tc>
      </w:tr>
      <w:tr>
        <w:tc>
          <w:tcPr>
            <w:shd w:fill="F2F2F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2025 (Base)</w:t>
            </w:r>
          </w:p>
        </w:tc>
        <w:tc>
          <w:tcPr>
            <w:shd w:fill="F2F2F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shd w:fill="F2F2F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₹39.34 Cr</w:t>
            </w:r>
          </w:p>
        </w:tc>
        <w:tc>
          <w:tcPr>
            <w:shd w:fill="F2F2F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163.8%</w:t>
            </w:r>
          </w:p>
        </w:tc>
      </w:tr>
      <w:tr>
        <w:tc>
          <w:tcPr>
            <w:shd w:fill="F2F2F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 (+5%)</w:t>
            </w:r>
          </w:p>
        </w:tc>
        <w:tc>
          <w:tcPr>
            <w:shd w:fill="F2F2F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105%</w:t>
            </w:r>
          </w:p>
        </w:tc>
        <w:tc>
          <w:tcPr>
            <w:shd w:fill="F2F2F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₹41.31 Cr</w:t>
            </w:r>
          </w:p>
        </w:tc>
        <w:tc>
          <w:tcPr>
            <w:shd w:fill="F2F2F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172.0%</w:t>
            </w:r>
          </w:p>
        </w:tc>
      </w:tr>
      <w:tr>
        <w:tc>
          <w:tcPr>
            <w:shd w:fill="F2F2F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2027 (+10%)</w:t>
            </w:r>
          </w:p>
        </w:tc>
        <w:tc>
          <w:tcPr>
            <w:shd w:fill="F2F2F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110%</w:t>
            </w:r>
          </w:p>
        </w:tc>
        <w:tc>
          <w:tcPr>
            <w:shd w:fill="F2F2F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₹43.28 Cr</w:t>
            </w:r>
          </w:p>
        </w:tc>
        <w:tc>
          <w:tcPr>
            <w:shd w:fill="F2F2F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180.2%</w:t>
            </w:r>
          </w:p>
        </w:tc>
      </w:tr>
      <w:tr>
        <w:tc>
          <w:tcPr>
            <w:shd w:fill="F2F2F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2029 (+20%)</w:t>
            </w:r>
          </w:p>
        </w:tc>
        <w:tc>
          <w:tcPr>
            <w:shd w:fill="F2F2F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120%</w:t>
            </w:r>
          </w:p>
        </w:tc>
        <w:tc>
          <w:tcPr>
            <w:shd w:fill="F2F2F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₹47.21 Cr</w:t>
            </w:r>
          </w:p>
        </w:tc>
        <w:tc>
          <w:tcPr>
            <w:shd w:fill="F2F2F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196.6%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Each 5% increase in claim frequency adds approximately ₹1.97 Crore annually to the loss pool. At this trajectory, premiums must be more than doubled to reach break-even.</w:t>
      </w:r>
    </w:p>
    <w:p>
      <w:pPr>
        <w:pStyle w:val="Heading1"/>
        <w:shd w:fill="1F3864" w:color="1F3864" w:val="solid"/>
        <w:spacing w:before="240" w:after="120"/>
        <w:rPr>
          <w:color w:val="FFFFFF"/>
        </w:rPr>
      </w:pPr>
      <w:r>
        <w:t xml:space="preserve">5. Tools &amp; Deliverables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5. Tools &amp; Deliverables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Python (pandas, numpy, openpyxl) — data simulation and analysis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Excel Workbook — 5 sheets: Dashboard, Policy Sales Data (10K sample), Claims Data (10K sample), Analytical Query Results, Bonus Insights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CSV files — Full 1M policy records and 49K claims records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This document — approach, assumptions and key insights</w:t>
      </w:r>
    </w:p>
    <w:p>
      <w:pPr>
        <w:pStyle w:val="Heading1"/>
        <w:shd w:fill="1F3864" w:color="1F3864" w:val="solid"/>
        <w:spacing w:before="240" w:after="120"/>
        <w:rPr>
          <w:color w:val="FFFFFF"/>
        </w:rPr>
      </w:pPr>
      <w:r>
        <w:t xml:space="preserve">6. Summary Recommendations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6. Summary Recommendations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Re-price 1-year and 4-year policies significantly upward — current premiums do not cover expected claims.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Investigate claim clustering around purchase-date patterns to detect potential fraud or systemic defects.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Monitor 4-year cohort claims beyond Feb 2026 — only 10% have claimed so far; the remaining 90% represent ₹900 Crore+ in exposure.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Consider reserve requirements: the ₹951 Crore potential liability dwarfs the ₹24 Crore premium collected.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Promote 3-year products — best balance of volume and risk-adjusted returns.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2026-03-08T11:18:36.504Z</dcterms:created>
  <dcterms:modified xsi:type="dcterms:W3CDTF">2026-03-08T11:18:36.505Z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