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Stock Price Forecasting and Algorithmic Trading Strategy Comparison Using LSTM Networks and Q-Learning</w:t>
      </w:r>
    </w:p>
    <w:p>
      <w:pPr>
        <w:spacing w:after="320"/>
        <w:jc w:val="center"/>
      </w:pPr>
      <w:r>
        <w:rPr>
          <w:rFonts w:ascii="Calibri" w:cs="Calibri" w:eastAsia="Calibri" w:hAnsi="Calibri"/>
          <w:i/>
          <w:iCs/>
          <w:color w:val="555555"/>
          <w:sz w:val="22"/>
          <w:szCs w:val="22"/>
        </w:rPr>
        <w:t xml:space="preserve">A Comparative Study on AAPL Using Deep Sequence Learning and Reinforcement Learning</w:t>
      </w:r>
    </w:p>
    <w:p>
      <w:pPr>
        <w:pStyle w:val="Heading1"/>
        <w:spacing w:after="160" w:before="320"/>
      </w:pPr>
      <w:r>
        <w:t xml:space="preserve">Abstract</w:t>
      </w:r>
    </w:p>
    <w:p>
      <w:pPr>
        <w:spacing w:after="160" w:line="276"/>
      </w:pPr>
      <w:r>
        <w:rPr>
          <w:rFonts w:ascii="Calibri" w:cs="Calibri" w:eastAsia="Calibri" w:hAnsi="Calibri"/>
          <w:sz w:val="22"/>
          <w:szCs w:val="22"/>
        </w:rPr>
        <w:t xml:space="preserve">This report presents a system that forecasts equity closing prices with a Long Short-Term Memory (LSTM) recurrent neural network and compares two automated trading strategies — an LSTM-signal strategy and a tabular Q-learning agent — against a Buy &amp; Hold benchmark. Daily price data for Apple Inc. (AAPL) from January 2025 to July 2026 was enriched with two momentum indicators, the Relative Strength Index (RSI) and the Moving Average Convergence Divergence (MACD), and used to train a two-layer LSTM regressor. The model achieved an R² of 0.65 on a 30-day held-out test window, with a root-mean-squared error of $8.52. When translated into trading signals, the LSTM strategy produced a Sharpe ratio of 5.59 and a maximum drawdown of only -3.79% over the test window, outperforming both the Q-learning agent and the Buy &amp; Hold benchmark on a risk-adjusted basis, though on a much shorter and smaller test sample. The report documents the literature underpinning both methods, the full methodology, the dataset, and the resulting performance metrics, and closes with a discussion of the approach's limitations.</w:t>
      </w:r>
    </w:p>
    <w:p>
      <w:pPr>
        <w:pStyle w:val="Heading1"/>
        <w:spacing w:after="160" w:before="320"/>
      </w:pPr>
      <w:r>
        <w:t xml:space="preserve">1. Introduction</w:t>
      </w:r>
    </w:p>
    <w:p>
      <w:pPr>
        <w:spacing w:after="160" w:line="276"/>
      </w:pPr>
      <w:r>
        <w:rPr>
          <w:rFonts w:ascii="Calibri" w:cs="Calibri" w:eastAsia="Calibri" w:hAnsi="Calibri"/>
          <w:sz w:val="22"/>
          <w:szCs w:val="22"/>
        </w:rPr>
        <w:t xml:space="preserve">Forecasting equity prices and designing rules to trade on those forecasts are two of the most heavily studied problems in quantitative finance. Classical time-series models such as ARIMA and GARCH assume linear or fixed-form relationships between past and future prices, which limits their ability to capture the non-linear, regime-dependent dynamics of real markets. Recurrent neural networks, and LSTM networks in particular, address this by learning non-linear temporal dependencies directly from data, while reinforcement learning (RL) approaches such as Q-learning instead learn a trading policy directly from reward signals, without first producing an explicit price forecast.</w:t>
      </w:r>
    </w:p>
    <w:p>
      <w:pPr>
        <w:spacing w:after="160" w:line="276"/>
      </w:pPr>
      <w:r>
        <w:rPr>
          <w:rFonts w:ascii="Calibri" w:cs="Calibri" w:eastAsia="Calibri" w:hAnsi="Calibri"/>
          <w:sz w:val="22"/>
          <w:szCs w:val="22"/>
        </w:rPr>
        <w:t xml:space="preserve">This project implements and compares both paradigms on the same underlying instrument and time window: (1) an LSTM network trained to predict next-day closing price from a rolling window of price and technical-indicator history, and (2) a tabular Q-learning agent trained to choose Buy/Hold/Sell actions from a discretized market-state representation. Both are benchmarked against a passive Buy &amp; Hold strategy, which represents the return an investor would obtain with no active decision-making.</w:t>
      </w:r>
    </w:p>
    <w:p>
      <w:pPr>
        <w:pStyle w:val="Heading1"/>
        <w:spacing w:after="160" w:before="320"/>
      </w:pPr>
      <w:r>
        <w:t xml:space="preserve">2. Literature Review</w:t>
      </w:r>
    </w:p>
    <w:p>
      <w:pPr>
        <w:spacing w:after="160" w:line="276"/>
      </w:pPr>
      <w:r>
        <w:rPr>
          <w:rFonts w:ascii="Calibri" w:cs="Calibri" w:eastAsia="Calibri" w:hAnsi="Calibri"/>
          <w:sz w:val="22"/>
          <w:szCs w:val="22"/>
        </w:rPr>
        <w:t xml:space="preserve">The methodology draws on four overlapping bodies of work: recurrent neural networks for sequence modeling, deep learning applied specifically to financial time series, reinforcement learning for algorithmic trading, and classical technical-analysis indicators used as engineered features.</w:t>
      </w:r>
    </w:p>
    <w:p>
      <w:pPr>
        <w:pStyle w:val="Heading2"/>
        <w:spacing w:after="120" w:before="240"/>
      </w:pPr>
      <w:r>
        <w:t xml:space="preserve">2.1 Recurrent Sequence Models</w:t>
      </w:r>
    </w:p>
    <w:p>
      <w:pPr>
        <w:spacing w:after="160" w:line="276"/>
      </w:pPr>
      <w:r>
        <w:rPr>
          <w:rFonts w:ascii="Calibri" w:cs="Calibri" w:eastAsia="Calibri" w:hAnsi="Calibri"/>
          <w:sz w:val="22"/>
          <w:szCs w:val="22"/>
        </w:rPr>
        <w:t xml:space="preserve">The LSTM architecture was introduced by Hochreiter and Schmidhuber (1997) to solve the vanishing-gradient problem that limits standard recurrent networks on long sequences, using gated memory cells that can retain or discard information over many time steps. This gating mechanism is what allows the network in this project to weigh recent price momentum against longer-run trend information within the same 20-day input window.</w:t>
      </w:r>
    </w:p>
    <w:p>
      <w:pPr>
        <w:pStyle w:val="Heading2"/>
        <w:spacing w:after="120" w:before="240"/>
      </w:pPr>
      <w:r>
        <w:t xml:space="preserve">2.2 Deep Learning for Financial Forecasting</w:t>
      </w:r>
    </w:p>
    <w:p>
      <w:pPr>
        <w:spacing w:after="160" w:line="276"/>
      </w:pPr>
      <w:r>
        <w:rPr>
          <w:rFonts w:ascii="Calibri" w:cs="Calibri" w:eastAsia="Calibri" w:hAnsi="Calibri"/>
          <w:sz w:val="22"/>
          <w:szCs w:val="22"/>
        </w:rPr>
        <w:t xml:space="preserve">Fischer and Krauss (2018) applied LSTM networks to S&amp;P 500 constituent stocks and showed they could outperform simpler machine-learning baselines (random forests, logistic regression) and the market itself before transaction costs, establishing LSTMs as a credible tool for financial sequence prediction rather than a purely academic exercise. Nelson, Pereira, and de Oliveira (2017) trained LSTM networks on price series enriched with technical indicators to predict the direction of future price movement, reporting accuracy improvements over baseline models when indicator features were included — the same motivation behind adding RSI and MACD as inputs in this project. Bao, Yue, and Rao (2017) additionally showed that combining wavelet-based denoising with LSTM forecasting improved predictive stability, underscoring that raw price series are noisy and that feature engineering materially affects LSTM performance.</w:t>
      </w:r>
    </w:p>
    <w:p>
      <w:pPr>
        <w:pStyle w:val="Heading2"/>
        <w:spacing w:after="120" w:before="240"/>
      </w:pPr>
      <w:r>
        <w:t xml:space="preserve">2.3 Reinforcement Learning for Trading</w:t>
      </w:r>
    </w:p>
    <w:p>
      <w:pPr>
        <w:spacing w:after="160" w:line="276"/>
      </w:pPr>
      <w:r>
        <w:rPr>
          <w:rFonts w:ascii="Calibri" w:cs="Calibri" w:eastAsia="Calibri" w:hAnsi="Calibri"/>
          <w:sz w:val="22"/>
          <w:szCs w:val="22"/>
        </w:rPr>
        <w:t xml:space="preserve">Q-learning, the model-free RL algorithm used for the trading agent, was introduced by Watkins and Dayan (1992) as a way to learn optimal action-value estimates through trial and error without requiring a model of the environment's dynamics; the general RL framework, including the exploration-exploitation trade-off implemented here through epsilon-greedy action selection, is formalized in Sutton and Barto's standard reference text (2018). Jiang, Xu, and Liang (2017) applied deep reinforcement learning directly to portfolio management, framing trading as a sequential decision problem with price-return-based rewards analogous to the percentage-based reward scaling used in this project's agent.</w:t>
      </w:r>
    </w:p>
    <w:p>
      <w:pPr>
        <w:pStyle w:val="Heading2"/>
        <w:spacing w:after="120" w:before="240"/>
      </w:pPr>
      <w:r>
        <w:t xml:space="preserve">2.4 Technical Indicators as Features</w:t>
      </w:r>
    </w:p>
    <w:p>
      <w:pPr>
        <w:spacing w:after="160" w:line="276"/>
      </w:pPr>
      <w:r>
        <w:rPr>
          <w:rFonts w:ascii="Calibri" w:cs="Calibri" w:eastAsia="Calibri" w:hAnsi="Calibri"/>
          <w:sz w:val="22"/>
          <w:szCs w:val="22"/>
        </w:rPr>
        <w:t xml:space="preserve">The Relative Strength Index was introduced by Wilder (1978) as a momentum oscillator bounded between 0 and 100 that flags overbought (&gt;70) and oversold (&lt;30) conditions from the ratio of average recent gains to average recent losses. The Moving Average Convergence Divergence indicator, developed by Appel (1979), captures trend strength and potential reversals from the difference between fast and slow exponential moving averages of price. Both indicators are standard inputs in the technical-analysis literature (Murphy, 1999) and are used here as auxiliary LSTM input features rather than as standalone trading rules.</w:t>
      </w:r>
    </w:p>
    <w:p>
      <w:pPr>
        <w:pStyle w:val="Heading1"/>
        <w:spacing w:after="160" w:before="320"/>
      </w:pPr>
      <w:r>
        <w:t xml:space="preserve">3. Methodology</w:t>
      </w:r>
    </w:p>
    <w:p>
      <w:pPr>
        <w:pStyle w:val="Heading2"/>
        <w:spacing w:after="120" w:before="240"/>
      </w:pPr>
      <w:r>
        <w:t xml:space="preserve">3.1 Pipeline Overview</w:t>
      </w:r>
    </w:p>
    <w:p>
      <w:pPr>
        <w:spacing w:after="160" w:line="276"/>
      </w:pPr>
      <w:r>
        <w:rPr>
          <w:rFonts w:ascii="Calibri" w:cs="Calibri" w:eastAsia="Calibri" w:hAnsi="Calibri"/>
          <w:sz w:val="22"/>
          <w:szCs w:val="22"/>
        </w:rPr>
        <w:t xml:space="preserve">The pipeline has four stages: (1) data acquisition and feature engineering, (2) LSTM training and evaluation for next-day price prediction, (3) Q-learning agent training for direct trading-policy learning, and (4) backtesting of the LSTM-derived strategy, the Q-learning strategy, and a Buy &amp; Hold benchmark over a common held-out window, followed by risk-adjusted performance comparison.</w:t>
      </w:r>
    </w:p>
    <w:p>
      <w:pPr>
        <w:pStyle w:val="Heading2"/>
        <w:spacing w:after="120" w:before="240"/>
      </w:pPr>
      <w:r>
        <w:t xml:space="preserve">3.2 Feature Engineering</w:t>
      </w:r>
    </w:p>
    <w:p>
      <w:pPr>
        <w:pStyle w:val="ListParagraph"/>
        <w:pStyle w:val="bulletStyle"/>
        <w:numPr>
          <w:ilvl w:val="0"/>
          <w:numId w:val="1"/>
        </w:numPr>
        <w:spacing w:after="100" w:line="276"/>
      </w:pPr>
      <w:r>
        <w:t xml:space="preserve">Close price: the auto-adjusted daily close, used both as a model input and as the regression target.</w:t>
      </w:r>
    </w:p>
    <w:p>
      <w:pPr>
        <w:pStyle w:val="ListParagraph"/>
        <w:pStyle w:val="bulletStyle"/>
        <w:numPr>
          <w:ilvl w:val="0"/>
          <w:numId w:val="1"/>
        </w:numPr>
        <w:spacing w:after="100" w:line="276"/>
      </w:pPr>
      <w:r>
        <w:t xml:space="preserve">RSI (14-period): computed from the 14-day rolling average of gains and losses following Wilder's original formulation.</w:t>
      </w:r>
    </w:p>
    <w:p>
      <w:pPr>
        <w:pStyle w:val="ListParagraph"/>
        <w:pStyle w:val="bulletStyle"/>
        <w:numPr>
          <w:ilvl w:val="0"/>
          <w:numId w:val="1"/>
        </w:numPr>
        <w:spacing w:after="100" w:line="276"/>
      </w:pPr>
      <w:r>
        <w:t xml:space="preserve">MACD: the difference between the 12-period and 26-period exponential moving averages of Close.</w:t>
      </w:r>
    </w:p>
    <w:p>
      <w:pPr>
        <w:spacing w:after="160" w:line="276"/>
      </w:pPr>
      <w:r>
        <w:rPr>
          <w:rFonts w:ascii="Calibri" w:cs="Calibri" w:eastAsia="Calibri" w:hAnsi="Calibri"/>
          <w:sz w:val="22"/>
          <w:szCs w:val="22"/>
        </w:rPr>
        <w:t xml:space="preserve">All rows with undefined indicator values (the first 14-26 days, before the rolling windows are full) are dropped before modeling.</w:t>
      </w:r>
    </w:p>
    <w:p>
      <w:pPr>
        <w:pStyle w:val="Heading2"/>
        <w:spacing w:after="120" w:before="240"/>
      </w:pPr>
      <w:r>
        <w:t xml:space="preserve">3.3 LSTM Model</w:t>
      </w:r>
    </w:p>
    <w:p>
      <w:pPr>
        <w:spacing w:after="160" w:line="276"/>
      </w:pPr>
      <w:r>
        <w:rPr>
          <w:rFonts w:ascii="Calibri" w:cs="Calibri" w:eastAsia="Calibri" w:hAnsi="Calibri"/>
          <w:sz w:val="22"/>
          <w:szCs w:val="22"/>
        </w:rPr>
        <w:t xml:space="preserve">Close, RSI, and MACD are independently scaled to [0, 1] with separate MinMaxScaler instances (one fit on all three features for model input, one fit on Close alone so predictions can be inverse-transformed back to dollar terms). Overlapping sequences of length 20 trading days are constructed as inputs, with the following day's scaled Close as the target. The network architecture is:</w:t>
      </w:r>
    </w:p>
    <w:p>
      <w:pPr>
        <w:pStyle w:val="ListParagraph"/>
        <w:pStyle w:val="bulletStyle"/>
        <w:numPr>
          <w:ilvl w:val="0"/>
          <w:numId w:val="1"/>
        </w:numPr>
        <w:spacing w:after="100" w:line="276"/>
      </w:pPr>
      <w:r>
        <w:t xml:space="preserve">LSTM layer, 64 units, return_sequences=True, followed by Dropout(0.2)</w:t>
      </w:r>
    </w:p>
    <w:p>
      <w:pPr>
        <w:pStyle w:val="ListParagraph"/>
        <w:pStyle w:val="bulletStyle"/>
        <w:numPr>
          <w:ilvl w:val="0"/>
          <w:numId w:val="1"/>
        </w:numPr>
        <w:spacing w:after="100" w:line="276"/>
      </w:pPr>
      <w:r>
        <w:t xml:space="preserve">LSTM layer, 64 units, followed by Dropout(0.2)</w:t>
      </w:r>
    </w:p>
    <w:p>
      <w:pPr>
        <w:pStyle w:val="ListParagraph"/>
        <w:pStyle w:val="bulletStyle"/>
        <w:numPr>
          <w:ilvl w:val="0"/>
          <w:numId w:val="1"/>
        </w:numPr>
        <w:spacing w:after="100" w:line="276"/>
      </w:pPr>
      <w:r>
        <w:t xml:space="preserve">Dense output layer, 1 unit (next-day scaled Close)</w:t>
      </w:r>
    </w:p>
    <w:p>
      <w:pPr>
        <w:spacing w:after="160" w:line="276"/>
      </w:pPr>
      <w:r>
        <w:rPr>
          <w:rFonts w:ascii="Calibri" w:cs="Calibri" w:eastAsia="Calibri" w:hAnsi="Calibri"/>
          <w:sz w:val="22"/>
          <w:szCs w:val="22"/>
        </w:rPr>
        <w:t xml:space="preserve">The model is trained with the Adam optimizer and mean-squared-error loss for 100 epochs with a batch size of 16, using the first (len(data) - 30) days as the training set and the final 30 days as a held-out test set. A 15-day future forecast is produced by iteratively feeding each prediction back into the input window (holding the last observed RSI/MACD values constant), a standard approach for multi-step recursive forecasting.</w:t>
      </w:r>
    </w:p>
    <w:p>
      <w:pPr>
        <w:pStyle w:val="Heading2"/>
        <w:spacing w:after="120" w:before="240"/>
      </w:pPr>
      <w:r>
        <w:t xml:space="preserve">3.4 Q-Learning Trading Agent</w:t>
      </w:r>
    </w:p>
    <w:p>
      <w:pPr>
        <w:spacing w:after="160" w:line="276"/>
      </w:pPr>
      <w:r>
        <w:rPr>
          <w:rFonts w:ascii="Calibri" w:cs="Calibri" w:eastAsia="Calibri" w:hAnsi="Calibri"/>
          <w:sz w:val="22"/>
          <w:szCs w:val="22"/>
        </w:rPr>
        <w:t xml:space="preserve">The agent uses a compact three-state representation of the market derived from the prior day's percentage price change: Downtrend (&lt; -0.15%), Sideways (within ±0.15%), and Uptrend (&gt; +0.15%). Three actions are available at each step: Hold, Buy, and Sell. Rewards are shaped as follows: opening a position gives zero immediate reward; closing a position rewards the realized percentage trade return (scaled by 100); holding an open position rewards the day's incremental percentage price change (scaled by 100); and invalid or redundant actions (buying while already holding, selling while flat, or remaining uninvested) are penalized with small fixed costs. The agent is trained for 2,000 episodes over the full price history using the standard Q-learning (Watkins &amp; Dayan, 1992) Bellman update with learning rate α = 0.1 and discount factor γ = 0.95, under an epsilon-greedy policy with epsilon linearly decayed from 0.30 toward a 0.01 floor across episodes. After training, the greedy policy (argmax over the learned Q-table) is used, with no further exploration, to generate the backtested trades.</w:t>
      </w:r>
    </w:p>
    <w:p>
      <w:pPr>
        <w:pStyle w:val="Heading2"/>
        <w:spacing w:after="120" w:before="240"/>
      </w:pPr>
      <w:r>
        <w:t xml:space="preserve">3.5 Strategies Backtested</w:t>
      </w:r>
    </w:p>
    <w:p>
      <w:pPr>
        <w:pStyle w:val="ListParagraph"/>
        <w:pStyle w:val="bulletStyle"/>
        <w:numPr>
          <w:ilvl w:val="0"/>
          <w:numId w:val="1"/>
        </w:numPr>
        <w:spacing w:after="100" w:line="276"/>
      </w:pPr>
      <w:r>
        <w:t xml:space="preserve">Buy &amp; Hold: invest the full initial capital in the asset on day one and hold for the entire window.</w:t>
      </w:r>
    </w:p>
    <w:p>
      <w:pPr>
        <w:pStyle w:val="ListParagraph"/>
        <w:pStyle w:val="bulletStyle"/>
        <w:numPr>
          <w:ilvl w:val="0"/>
          <w:numId w:val="1"/>
        </w:numPr>
        <w:spacing w:after="100" w:line="276"/>
      </w:pPr>
      <w:r>
        <w:t xml:space="preserve">LSTM strategy: go long when tomorrow's predicted Close exceeds today's predicted Close, and exit otherwise, executed at the actual observed price.</w:t>
      </w:r>
    </w:p>
    <w:p>
      <w:pPr>
        <w:pStyle w:val="ListParagraph"/>
        <w:pStyle w:val="bulletStyle"/>
        <w:numPr>
          <w:ilvl w:val="0"/>
          <w:numId w:val="1"/>
        </w:numPr>
        <w:spacing w:after="100" w:line="276"/>
      </w:pPr>
      <w:r>
        <w:t xml:space="preserve">Q-learning strategy: execute the greedy action from the trained Q-table at each step.</w:t>
      </w:r>
    </w:p>
    <w:p>
      <w:pPr>
        <w:spacing w:after="160" w:line="276"/>
      </w:pPr>
      <w:r>
        <w:rPr>
          <w:rFonts w:ascii="Calibri" w:cs="Calibri" w:eastAsia="Calibri" w:hAnsi="Calibri"/>
          <w:sz w:val="22"/>
          <w:szCs w:val="22"/>
        </w:rPr>
        <w:t xml:space="preserve">All three strategies start from the same $10,000 initial capital and are compared over the identical 30-day test window so results are directly comparable.</w:t>
      </w:r>
    </w:p>
    <w:p>
      <w:pPr>
        <w:pStyle w:val="Heading2"/>
        <w:spacing w:after="120" w:before="240"/>
      </w:pPr>
      <w:r>
        <w:t xml:space="preserve">3.6 Evaluation Metrics</w:t>
      </w:r>
    </w:p>
    <w:p>
      <w:pPr>
        <w:spacing w:after="160" w:line="276"/>
      </w:pPr>
      <w:r>
        <w:rPr>
          <w:rFonts w:ascii="Calibri" w:cs="Calibri" w:eastAsia="Calibri" w:hAnsi="Calibri"/>
          <w:sz w:val="22"/>
          <w:szCs w:val="22"/>
        </w:rPr>
        <w:t xml:space="preserve">Prediction quality is measured with the coefficient of determination (R²), root-mean-squared error (RMSE), and mean absolute error (MAE) between actual and predicted Close prices. Trading performance is measured with total return, annualized return (compounded to a 252-trading-day year), annualized volatility, the Sharpe ratio (annualized return divided by annualized volatility, with no risk-free-rate adjustment), and maximum drawdown (the largest peak-to-trough decline in portfolio value).</w:t>
      </w:r>
    </w:p>
    <w:p>
      <w:pPr>
        <w:pStyle w:val="Heading1"/>
        <w:spacing w:after="160" w:before="320"/>
      </w:pPr>
      <w:r>
        <w:t xml:space="preserve">4. Data</w:t>
      </w:r>
    </w:p>
    <w:p>
      <w:pPr>
        <w:spacing w:after="160" w:line="276"/>
      </w:pPr>
      <w:r>
        <w:rPr>
          <w:rFonts w:ascii="Calibri" w:cs="Calibri" w:eastAsia="Calibri" w:hAnsi="Calibri"/>
          <w:sz w:val="22"/>
          <w:szCs w:val="22"/>
        </w:rPr>
        <w:t xml:space="preserve">The dataset is daily OHLCV (open, high, low, close, volume) price data for Apple Inc. (ticker: AAPL), retrieved programmatically through the yfinance API with auto-adjustment for splits and dividends. The run documented in this report covers 2025-01-01 through 2026-07-20 at daily granularity. After the 14/26-day indicator warm-up period is dropped, this leaves several hundred daily observations, split into a training set of all but the final 30 trading days and a 30-day held-out test set used for both prediction evaluation and strategy backtesting. Three columns are retained per row for modeling: Close, RSI(14), and MACD(12,26). The pipeline is written to accept any ticker, date range, and timeframe (daily, weekly, or monthly) as user input, so the same code can be re-run on other instruments without modification.</w:t>
      </w:r>
    </w:p>
    <w:p>
      <w:pPr>
        <w:pStyle w:val="Heading1"/>
        <w:spacing w:after="160" w:before="320"/>
      </w:pPr>
      <w:r>
        <w:t xml:space="preserve">5. Results</w:t>
      </w:r>
    </w:p>
    <w:p>
      <w:pPr>
        <w:pStyle w:val="Heading2"/>
        <w:spacing w:after="120" w:before="240"/>
      </w:pPr>
      <w:r>
        <w:t xml:space="preserve">5.1 LSTM Prediction Accuracy (30-day test window)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rPr>
          <w:tblHeader/>
        </w:trPr>
        <w:tc>
          <w:tcPr>
            <w:tcW w:type="dxa" w:w="3600"/>
            <w:shd w:fill="2F5496" w:val="clear"/>
          </w:tcPr>
          <w:p>
            <w:r>
              <w:rPr>
                <w:rFonts w:ascii="Calibri" w:cs="Calibri" w:eastAsia="Calibri" w:hAnsi="Calibri"/>
                <w:b/>
                <w:bCs/>
                <w:color w:val="FFFFFF"/>
                <w:sz w:val="20"/>
                <w:szCs w:val="20"/>
              </w:rPr>
              <w:t xml:space="preserve">Metric</w:t>
            </w:r>
          </w:p>
        </w:tc>
        <w:tc>
          <w:tcPr>
            <w:tcW w:type="dxa" w:w="2200"/>
            <w:shd w:fill="2F5496" w:val="clear"/>
          </w:tcPr>
          <w:p>
            <w:r>
              <w:rPr>
                <w:rFonts w:ascii="Calibri" w:cs="Calibri" w:eastAsia="Calibri" w:hAnsi="Calibri"/>
                <w:b/>
                <w:bCs/>
                <w:color w:val="FFFFFF"/>
                <w:sz w:val="20"/>
                <w:szCs w:val="20"/>
              </w:rPr>
              <w:t xml:space="preserve">Value</w:t>
            </w:r>
          </w:p>
        </w:tc>
      </w:tr>
      <w:tr>
        <w:tc>
          <w:tcPr>
            <w:tcW w:type="dxa" w:w="3600"/>
            <w:shd w:fill="F2F2F2" w:val="clear"/>
          </w:tcPr>
          <w:p>
            <w:r>
              <w:rPr>
                <w:rFonts w:ascii="Calibri" w:cs="Calibri" w:eastAsia="Calibri" w:hAnsi="Calibri"/>
                <w:sz w:val="20"/>
                <w:szCs w:val="20"/>
              </w:rPr>
              <w:t xml:space="preserve">R² Score</w:t>
            </w:r>
          </w:p>
        </w:tc>
        <w:tc>
          <w:tcPr>
            <w:tcW w:type="dxa" w:w="2200"/>
            <w:shd w:fill="F2F2F2" w:val="clear"/>
          </w:tcPr>
          <w:p>
            <w:r>
              <w:rPr>
                <w:rFonts w:ascii="Calibri" w:cs="Calibri" w:eastAsia="Calibri" w:hAnsi="Calibri"/>
                <w:sz w:val="20"/>
                <w:szCs w:val="20"/>
              </w:rPr>
              <w:t xml:space="preserve">0.6481</w:t>
            </w:r>
          </w:p>
        </w:tc>
      </w:tr>
      <w:tr>
        <w:tc>
          <w:tcPr>
            <w:tcW w:type="dxa" w:w="3600"/>
            <w:shd w:fill="FFFFFF" w:val="clear"/>
          </w:tcPr>
          <w:p>
            <w:r>
              <w:rPr>
                <w:rFonts w:ascii="Calibri" w:cs="Calibri" w:eastAsia="Calibri" w:hAnsi="Calibri"/>
                <w:sz w:val="20"/>
                <w:szCs w:val="20"/>
              </w:rPr>
              <w:t xml:space="preserve">RMSE</w:t>
            </w:r>
          </w:p>
        </w:tc>
        <w:tc>
          <w:tcPr>
            <w:tcW w:type="dxa" w:w="2200"/>
            <w:shd w:fill="FFFFFF" w:val="clear"/>
          </w:tcPr>
          <w:p>
            <w:r>
              <w:rPr>
                <w:rFonts w:ascii="Calibri" w:cs="Calibri" w:eastAsia="Calibri" w:hAnsi="Calibri"/>
                <w:sz w:val="20"/>
                <w:szCs w:val="20"/>
              </w:rPr>
              <w:t xml:space="preserve">$8.52</w:t>
            </w:r>
          </w:p>
        </w:tc>
      </w:tr>
      <w:tr>
        <w:tc>
          <w:tcPr>
            <w:tcW w:type="dxa" w:w="3600"/>
            <w:shd w:fill="F2F2F2" w:val="clear"/>
          </w:tcPr>
          <w:p>
            <w:r>
              <w:rPr>
                <w:rFonts w:ascii="Calibri" w:cs="Calibri" w:eastAsia="Calibri" w:hAnsi="Calibri"/>
                <w:sz w:val="20"/>
                <w:szCs w:val="20"/>
              </w:rPr>
              <w:t xml:space="preserve">MAE</w:t>
            </w:r>
          </w:p>
        </w:tc>
        <w:tc>
          <w:tcPr>
            <w:tcW w:type="dxa" w:w="2200"/>
            <w:shd w:fill="F2F2F2" w:val="clear"/>
          </w:tcPr>
          <w:p>
            <w:r>
              <w:rPr>
                <w:rFonts w:ascii="Calibri" w:cs="Calibri" w:eastAsia="Calibri" w:hAnsi="Calibri"/>
                <w:sz w:val="20"/>
                <w:szCs w:val="20"/>
              </w:rPr>
              <w:t xml:space="preserve">$6.87</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An R² of 0.65 indicates the model explains roughly two-thirds of the variance in next-day closing price over the test window, with a typical prediction error of under $9 on a stock trading in the low-to-mid $200s over this period — a reasonable but imperfect fit, consistent with the moderate-accuracy results reported for single-stock LSTM forecasts in Fischer and Krauss (2018).</w:t>
      </w:r>
    </w:p>
    <w:p>
      <w:pPr>
        <w:pStyle w:val="Heading2"/>
        <w:spacing w:after="120" w:before="240"/>
      </w:pPr>
      <w:r>
        <w:t xml:space="preserve">5.2 Strategy Performance Comparison (30-day test window)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rPr>
          <w:tblHeader/>
        </w:trPr>
        <w:tc>
          <w:tcPr>
            <w:tcW w:type="dxa" w:w="3600"/>
            <w:shd w:fill="2F5496" w:val="clear"/>
          </w:tcPr>
          <w:p>
            <w:r>
              <w:rPr>
                <w:rFonts w:ascii="Calibri" w:cs="Calibri" w:eastAsia="Calibri" w:hAnsi="Calibri"/>
                <w:b/>
                <w:bCs/>
                <w:color w:val="FFFFFF"/>
                <w:sz w:val="20"/>
                <w:szCs w:val="20"/>
              </w:rPr>
              <w:t xml:space="preserve">Strategy</w:t>
            </w:r>
          </w:p>
        </w:tc>
        <w:tc>
          <w:tcPr>
            <w:tcW w:type="dxa" w:w="2200"/>
            <w:shd w:fill="2F5496" w:val="clear"/>
          </w:tcPr>
          <w:p>
            <w:r>
              <w:rPr>
                <w:rFonts w:ascii="Calibri" w:cs="Calibri" w:eastAsia="Calibri" w:hAnsi="Calibri"/>
                <w:b/>
                <w:bCs/>
                <w:color w:val="FFFFFF"/>
                <w:sz w:val="20"/>
                <w:szCs w:val="20"/>
              </w:rPr>
              <w:t xml:space="preserve">Total Return</w:t>
            </w:r>
          </w:p>
        </w:tc>
        <w:tc>
          <w:tcPr>
            <w:tcW w:type="dxa" w:w="2200"/>
            <w:shd w:fill="2F5496" w:val="clear"/>
          </w:tcPr>
          <w:p>
            <w:r>
              <w:rPr>
                <w:rFonts w:ascii="Calibri" w:cs="Calibri" w:eastAsia="Calibri" w:hAnsi="Calibri"/>
                <w:b/>
                <w:bCs/>
                <w:color w:val="FFFFFF"/>
                <w:sz w:val="20"/>
                <w:szCs w:val="20"/>
              </w:rPr>
              <w:t xml:space="preserve">Sharpe Ratio</w:t>
            </w:r>
          </w:p>
        </w:tc>
        <w:tc>
          <w:tcPr>
            <w:tcW w:type="dxa" w:w="2200"/>
            <w:shd w:fill="2F5496" w:val="clear"/>
          </w:tcPr>
          <w:p>
            <w:r>
              <w:rPr>
                <w:rFonts w:ascii="Calibri" w:cs="Calibri" w:eastAsia="Calibri" w:hAnsi="Calibri"/>
                <w:b/>
                <w:bCs/>
                <w:color w:val="FFFFFF"/>
                <w:sz w:val="20"/>
                <w:szCs w:val="20"/>
              </w:rPr>
              <w:t xml:space="preserve">Max Drawdown</w:t>
            </w:r>
          </w:p>
        </w:tc>
      </w:tr>
      <w:tr>
        <w:tc>
          <w:tcPr>
            <w:tcW w:type="dxa" w:w="3600"/>
            <w:shd w:fill="F2F2F2" w:val="clear"/>
          </w:tcPr>
          <w:p>
            <w:r>
              <w:rPr>
                <w:rFonts w:ascii="Calibri" w:cs="Calibri" w:eastAsia="Calibri" w:hAnsi="Calibri"/>
                <w:sz w:val="20"/>
                <w:szCs w:val="20"/>
              </w:rPr>
              <w:t xml:space="preserve">LSTM Strategy</w:t>
            </w:r>
          </w:p>
        </w:tc>
        <w:tc>
          <w:tcPr>
            <w:tcW w:type="dxa" w:w="2200"/>
            <w:shd w:fill="F2F2F2" w:val="clear"/>
          </w:tcPr>
          <w:p>
            <w:r>
              <w:rPr>
                <w:rFonts w:ascii="Calibri" w:cs="Calibri" w:eastAsia="Calibri" w:hAnsi="Calibri"/>
                <w:sz w:val="20"/>
                <w:szCs w:val="20"/>
              </w:rPr>
              <w:t xml:space="preserve">9.97%</w:t>
            </w:r>
          </w:p>
        </w:tc>
        <w:tc>
          <w:tcPr>
            <w:tcW w:type="dxa" w:w="2200"/>
            <w:shd w:fill="F2F2F2" w:val="clear"/>
          </w:tcPr>
          <w:p>
            <w:r>
              <w:rPr>
                <w:rFonts w:ascii="Calibri" w:cs="Calibri" w:eastAsia="Calibri" w:hAnsi="Calibri"/>
                <w:sz w:val="20"/>
                <w:szCs w:val="20"/>
              </w:rPr>
              <w:t xml:space="preserve">5.59</w:t>
            </w:r>
          </w:p>
        </w:tc>
        <w:tc>
          <w:tcPr>
            <w:tcW w:type="dxa" w:w="2200"/>
            <w:shd w:fill="F2F2F2" w:val="clear"/>
          </w:tcPr>
          <w:p>
            <w:r>
              <w:rPr>
                <w:rFonts w:ascii="Calibri" w:cs="Calibri" w:eastAsia="Calibri" w:hAnsi="Calibri"/>
                <w:sz w:val="20"/>
                <w:szCs w:val="20"/>
              </w:rPr>
              <w:t xml:space="preserve">-3.79%</w:t>
            </w:r>
          </w:p>
        </w:tc>
      </w:tr>
      <w:tr>
        <w:tc>
          <w:tcPr>
            <w:tcW w:type="dxa" w:w="3600"/>
            <w:shd w:fill="FFFFFF" w:val="clear"/>
          </w:tcPr>
          <w:p>
            <w:r>
              <w:rPr>
                <w:rFonts w:ascii="Calibri" w:cs="Calibri" w:eastAsia="Calibri" w:hAnsi="Calibri"/>
                <w:sz w:val="20"/>
                <w:szCs w:val="20"/>
              </w:rPr>
              <w:t xml:space="preserve">Q-Learning (RL) Strategy</w:t>
            </w:r>
          </w:p>
        </w:tc>
        <w:tc>
          <w:tcPr>
            <w:tcW w:type="dxa" w:w="2200"/>
            <w:shd w:fill="FFFFFF" w:val="clear"/>
          </w:tcPr>
          <w:p>
            <w:r>
              <w:rPr>
                <w:rFonts w:ascii="Calibri" w:cs="Calibri" w:eastAsia="Calibri" w:hAnsi="Calibri"/>
                <w:sz w:val="20"/>
                <w:szCs w:val="20"/>
              </w:rPr>
              <w:t xml:space="preserve">7.23%</w:t>
            </w:r>
          </w:p>
        </w:tc>
        <w:tc>
          <w:tcPr>
            <w:tcW w:type="dxa" w:w="2200"/>
            <w:shd w:fill="FFFFFF" w:val="clear"/>
          </w:tcPr>
          <w:p>
            <w:r>
              <w:rPr>
                <w:rFonts w:ascii="Calibri" w:cs="Calibri" w:eastAsia="Calibri" w:hAnsi="Calibri"/>
                <w:sz w:val="20"/>
                <w:szCs w:val="20"/>
              </w:rPr>
              <w:t xml:space="preserve">2.30</w:t>
            </w:r>
          </w:p>
        </w:tc>
        <w:tc>
          <w:tcPr>
            <w:tcW w:type="dxa" w:w="2200"/>
            <w:shd w:fill="FFFFFF" w:val="clear"/>
          </w:tcPr>
          <w:p>
            <w:r>
              <w:rPr>
                <w:rFonts w:ascii="Calibri" w:cs="Calibri" w:eastAsia="Calibri" w:hAnsi="Calibri"/>
                <w:sz w:val="20"/>
                <w:szCs w:val="20"/>
              </w:rPr>
              <w:t xml:space="preserve">-11.59%</w:t>
            </w:r>
          </w:p>
        </w:tc>
      </w:tr>
      <w:tr>
        <w:tc>
          <w:tcPr>
            <w:tcW w:type="dxa" w:w="3600"/>
            <w:shd w:fill="F2F2F2" w:val="clear"/>
          </w:tcPr>
          <w:p>
            <w:r>
              <w:rPr>
                <w:rFonts w:ascii="Calibri" w:cs="Calibri" w:eastAsia="Calibri" w:hAnsi="Calibri"/>
                <w:sz w:val="20"/>
                <w:szCs w:val="20"/>
              </w:rPr>
              <w:t xml:space="preserve">Buy &amp; Hold</w:t>
            </w:r>
          </w:p>
        </w:tc>
        <w:tc>
          <w:tcPr>
            <w:tcW w:type="dxa" w:w="2200"/>
            <w:shd w:fill="F2F2F2" w:val="clear"/>
          </w:tcPr>
          <w:p>
            <w:r>
              <w:rPr>
                <w:rFonts w:ascii="Calibri" w:cs="Calibri" w:eastAsia="Calibri" w:hAnsi="Calibri"/>
                <w:sz w:val="20"/>
                <w:szCs w:val="20"/>
              </w:rPr>
              <w:t xml:space="preserve">7.23%</w:t>
            </w:r>
          </w:p>
        </w:tc>
        <w:tc>
          <w:tcPr>
            <w:tcW w:type="dxa" w:w="2200"/>
            <w:shd w:fill="F2F2F2" w:val="clear"/>
          </w:tcPr>
          <w:p>
            <w:r>
              <w:rPr>
                <w:rFonts w:ascii="Calibri" w:cs="Calibri" w:eastAsia="Calibri" w:hAnsi="Calibri"/>
                <w:sz w:val="20"/>
                <w:szCs w:val="20"/>
              </w:rPr>
              <w:t xml:space="preserve">2.30</w:t>
            </w:r>
          </w:p>
        </w:tc>
        <w:tc>
          <w:tcPr>
            <w:tcW w:type="dxa" w:w="2200"/>
            <w:shd w:fill="F2F2F2" w:val="clear"/>
          </w:tcPr>
          <w:p>
            <w:r>
              <w:rPr>
                <w:rFonts w:ascii="Calibri" w:cs="Calibri" w:eastAsia="Calibri" w:hAnsi="Calibri"/>
                <w:sz w:val="20"/>
                <w:szCs w:val="20"/>
              </w:rPr>
              <w:t xml:space="preserve">-11.59%</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Over the test window, the LSTM-signal strategy produced the highest total return and the best risk-adjusted performance (Sharpe 5.59) with the shallowest drawdown of the three approaches, suggesting the predicted next-day direction was, on balance, informative enough to time entries and exits better than passive holding. The Q-learning agent's greedy policy converged to a set of actions that reproduced the Buy &amp; Hold result exactly over this particular test window — in this run the learned policy effectively stayed invested throughout, so its return, volatility, and drawdown match the benchmark. The 15-day iterative forecast (plotted in the accompanying code output) extends the Close price series forward using the trained LSTM, holding the most recent RSI and MACD readings fixed.</w:t>
      </w:r>
    </w:p>
    <w:p>
      <w:pPr>
        <w:pStyle w:val="Heading1"/>
        <w:spacing w:after="160" w:before="320"/>
      </w:pPr>
      <w:r>
        <w:t xml:space="preserve">6. Discussion and Limitations</w:t>
      </w:r>
    </w:p>
    <w:p>
      <w:pPr>
        <w:pStyle w:val="ListParagraph"/>
        <w:pStyle w:val="bulletStyle"/>
        <w:numPr>
          <w:ilvl w:val="0"/>
          <w:numId w:val="1"/>
        </w:numPr>
        <w:spacing w:after="100" w:line="276"/>
      </w:pPr>
      <w:r>
        <w:t xml:space="preserve">Sample size: a 30-day test window is small; results are illustrative rather than statistically robust, and Sharpe ratios computed over such short windows are highly sensitive to a handful of trades.</w:t>
      </w:r>
    </w:p>
    <w:p>
      <w:pPr>
        <w:pStyle w:val="ListParagraph"/>
        <w:pStyle w:val="bulletStyle"/>
        <w:numPr>
          <w:ilvl w:val="0"/>
          <w:numId w:val="1"/>
        </w:numPr>
        <w:spacing w:after="100" w:line="276"/>
      </w:pPr>
      <w:r>
        <w:t xml:space="preserve">No transaction costs or slippage: all backtests assume frictionless trading, which favors strategies that trade more frequently, such as the LSTM strategy.</w:t>
      </w:r>
    </w:p>
    <w:p>
      <w:pPr>
        <w:pStyle w:val="ListParagraph"/>
        <w:pStyle w:val="bulletStyle"/>
        <w:numPr>
          <w:ilvl w:val="0"/>
          <w:numId w:val="1"/>
        </w:numPr>
        <w:spacing w:after="100" w:line="276"/>
      </w:pPr>
      <w:r>
        <w:t xml:space="preserve">Q-learning state space: reducing the market to three discretized trend states is a strong simplification that discards most price information available to the LSTM; a richer state representation or function approximation (e.g., deep Q-networks) would likely change the comparison.</w:t>
      </w:r>
    </w:p>
    <w:p>
      <w:pPr>
        <w:pStyle w:val="ListParagraph"/>
        <w:pStyle w:val="bulletStyle"/>
        <w:numPr>
          <w:ilvl w:val="0"/>
          <w:numId w:val="1"/>
        </w:numPr>
        <w:spacing w:after="100" w:line="276"/>
      </w:pPr>
      <w:r>
        <w:t xml:space="preserve">Risk-free rate: Sharpe ratios here use 0% as the risk-free rate, so they are not directly comparable to Sharpe ratios computed against a T-bill benchmark.</w:t>
      </w:r>
    </w:p>
    <w:p>
      <w:pPr>
        <w:pStyle w:val="ListParagraph"/>
        <w:pStyle w:val="bulletStyle"/>
        <w:numPr>
          <w:ilvl w:val="0"/>
          <w:numId w:val="1"/>
        </w:numPr>
        <w:spacing w:after="100" w:line="276"/>
      </w:pPr>
      <w:r>
        <w:t xml:space="preserve">Single-asset, single-period evaluation: all results are specific to AAPL over this exact date range; no claim is made about generalization to other tickers, regimes, or time periods without re-running the pipeline.</w:t>
      </w:r>
    </w:p>
    <w:p>
      <w:pPr>
        <w:pStyle w:val="Heading1"/>
        <w:spacing w:after="160" w:before="320"/>
      </w:pPr>
      <w:r>
        <w:t xml:space="preserve">7. Conclusion</w:t>
      </w:r>
    </w:p>
    <w:p>
      <w:pPr>
        <w:spacing w:after="160" w:line="276"/>
      </w:pPr>
      <w:r>
        <w:rPr>
          <w:rFonts w:ascii="Calibri" w:cs="Calibri" w:eastAsia="Calibri" w:hAnsi="Calibri"/>
          <w:sz w:val="22"/>
          <w:szCs w:val="22"/>
        </w:rPr>
        <w:t xml:space="preserve">This project implemented and compared an LSTM-based price-forecasting pipeline against a Q-learning trading agent and a Buy &amp; Hold benchmark on AAPL daily data. The LSTM achieved moderate forecasting accuracy (R² = 0.65) and, when converted into a simple directional trading rule, outperformed both alternatives on a risk-adjusted basis over the 30-day test window. The Q-learning agent, constrained to a coarse three-state representation of market trend, matched but did not exceed the passive benchmark in this run. Together the two approaches illustrate a common trade-off in quantitative trading system design: supervised sequence models like LSTM are well suited to producing accurate short-horizon forecasts that can drive simple trading rules, while reinforcement learning offers a framework for learning trading policies directly, with quality strongly dependent on the richness of the state representation and reward design.</w:t>
      </w:r>
    </w:p>
    <w:p>
      <w:pPr>
        <w:pStyle w:val="Heading1"/>
        <w:spacing w:after="160" w:before="320"/>
      </w:pPr>
      <w:r>
        <w:t xml:space="preserve">References</w:t>
      </w:r>
    </w:p>
    <w:p>
      <w:pPr>
        <w:spacing w:after="140" w:line="276"/>
        <w:ind w:left="720" w:hanging="720"/>
      </w:pPr>
      <w:r>
        <w:rPr>
          <w:rFonts w:ascii="Calibri" w:cs="Calibri" w:eastAsia="Calibri" w:hAnsi="Calibri"/>
          <w:sz w:val="22"/>
          <w:szCs w:val="22"/>
        </w:rPr>
        <w:t xml:space="preserve">Appel, G. (1979). The Moving Average Convergence-Divergence Trading Method. Signalert Corporation.</w:t>
      </w:r>
    </w:p>
    <w:p>
      <w:pPr>
        <w:spacing w:after="140" w:line="276"/>
        <w:ind w:left="720" w:hanging="720"/>
      </w:pPr>
      <w:r>
        <w:rPr>
          <w:rFonts w:ascii="Calibri" w:cs="Calibri" w:eastAsia="Calibri" w:hAnsi="Calibri"/>
          <w:sz w:val="22"/>
          <w:szCs w:val="22"/>
        </w:rPr>
        <w:t xml:space="preserve">Bao, W., Yue, J., &amp; Rao, Y. (2017). A deep learning framework for financial time series using stacked autoencoders and long-short term memory. PLOS ONE, 12(7), e0180944.</w:t>
      </w:r>
    </w:p>
    <w:p>
      <w:pPr>
        <w:spacing w:after="140" w:line="276"/>
        <w:ind w:left="720" w:hanging="720"/>
      </w:pPr>
      <w:r>
        <w:rPr>
          <w:rFonts w:ascii="Calibri" w:cs="Calibri" w:eastAsia="Calibri" w:hAnsi="Calibri"/>
          <w:sz w:val="22"/>
          <w:szCs w:val="22"/>
        </w:rPr>
        <w:t xml:space="preserve">Fischer, T., &amp; Krauss, C. (2018). Deep learning with long short-term memory networks for financial market predictions. European Journal of Operational Research, 270(2), 654-669.</w:t>
      </w:r>
    </w:p>
    <w:p>
      <w:pPr>
        <w:spacing w:after="140" w:line="276"/>
        <w:ind w:left="720" w:hanging="720"/>
      </w:pPr>
      <w:r>
        <w:rPr>
          <w:rFonts w:ascii="Calibri" w:cs="Calibri" w:eastAsia="Calibri" w:hAnsi="Calibri"/>
          <w:sz w:val="22"/>
          <w:szCs w:val="22"/>
        </w:rPr>
        <w:t xml:space="preserve">Hochreiter, S., &amp; Schmidhuber, J. (1997). Long short-term memory. Neural Computation, 9(8), 1735-1780.</w:t>
      </w:r>
    </w:p>
    <w:p>
      <w:pPr>
        <w:spacing w:after="140" w:line="276"/>
        <w:ind w:left="720" w:hanging="720"/>
      </w:pPr>
      <w:r>
        <w:rPr>
          <w:rFonts w:ascii="Calibri" w:cs="Calibri" w:eastAsia="Calibri" w:hAnsi="Calibri"/>
          <w:sz w:val="22"/>
          <w:szCs w:val="22"/>
        </w:rPr>
        <w:t xml:space="preserve">Jiang, Z., Xu, D., &amp; Liang, J. (2017). A deep reinforcement learning framework for the financial portfolio management problem. arXiv preprint arXiv:1706.10059.</w:t>
      </w:r>
    </w:p>
    <w:p>
      <w:pPr>
        <w:spacing w:after="140" w:line="276"/>
        <w:ind w:left="720" w:hanging="720"/>
      </w:pPr>
      <w:r>
        <w:rPr>
          <w:rFonts w:ascii="Calibri" w:cs="Calibri" w:eastAsia="Calibri" w:hAnsi="Calibri"/>
          <w:sz w:val="22"/>
          <w:szCs w:val="22"/>
        </w:rPr>
        <w:t xml:space="preserve">Murphy, J. J. (1999). Technical Analysis of the Financial Markets. New York Institute of Finance.</w:t>
      </w:r>
    </w:p>
    <w:p>
      <w:pPr>
        <w:spacing w:after="140" w:line="276"/>
        <w:ind w:left="720" w:hanging="720"/>
      </w:pPr>
      <w:r>
        <w:rPr>
          <w:rFonts w:ascii="Calibri" w:cs="Calibri" w:eastAsia="Calibri" w:hAnsi="Calibri"/>
          <w:sz w:val="22"/>
          <w:szCs w:val="22"/>
        </w:rPr>
        <w:t xml:space="preserve">Nelson, D. M. Q., Pereira, A. C. M., &amp; de Oliveira, R. A. (2017). Stock market's price movement prediction with LSTM neural networks. In 2017 International Joint Conference on Neural Networks (IJCNN) (pp. 1419-1426). IEEE.</w:t>
      </w:r>
    </w:p>
    <w:p>
      <w:pPr>
        <w:spacing w:after="140" w:line="276"/>
        <w:ind w:left="720" w:hanging="720"/>
      </w:pPr>
      <w:r>
        <w:rPr>
          <w:rFonts w:ascii="Calibri" w:cs="Calibri" w:eastAsia="Calibri" w:hAnsi="Calibri"/>
          <w:sz w:val="22"/>
          <w:szCs w:val="22"/>
        </w:rPr>
        <w:t xml:space="preserve">Sutton, R. S., &amp; Barto, A. G. (2018). Reinforcement Learning: An Introduction (2nd ed.). MIT Press.</w:t>
      </w:r>
    </w:p>
    <w:p>
      <w:pPr>
        <w:spacing w:after="140" w:line="276"/>
        <w:ind w:left="720" w:hanging="720"/>
      </w:pPr>
      <w:r>
        <w:rPr>
          <w:rFonts w:ascii="Calibri" w:cs="Calibri" w:eastAsia="Calibri" w:hAnsi="Calibri"/>
          <w:sz w:val="22"/>
          <w:szCs w:val="22"/>
        </w:rPr>
        <w:t xml:space="preserve">Watkins, C. J. C. H., &amp; Dayan, P. (1992). Q-learning. Machine Learning, 8(3-4), 279-292.</w:t>
      </w:r>
    </w:p>
    <w:p>
      <w:pPr>
        <w:spacing w:after="140" w:line="276"/>
        <w:ind w:left="720" w:hanging="720"/>
      </w:pPr>
      <w:r>
        <w:rPr>
          <w:rFonts w:ascii="Calibri" w:cs="Calibri" w:eastAsia="Calibri" w:hAnsi="Calibri"/>
          <w:sz w:val="22"/>
          <w:szCs w:val="22"/>
        </w:rPr>
        <w:t xml:space="preserve">Wilder, J. W. (1978). New Concepts in Technical Trading Systems. Trend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2026-07-20T07:55:05.481Z</dcterms:created>
  <dcterms:modified xsi:type="dcterms:W3CDTF">2026-07-20T07:55:05.507Z</dcterms:modified>
</cp:coreProperties>
</file>

<file path=docProps/custom.xml><?xml version="1.0" encoding="utf-8"?>
<Properties xmlns="http://schemas.openxmlformats.org/officeDocument/2006/custom-properties" xmlns:vt="http://schemas.openxmlformats.org/officeDocument/2006/docPropsVTypes"/>
</file>