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odel-equations"/>
    <w:p>
      <w:pPr>
        <w:pStyle w:val="Heading1"/>
      </w:pPr>
      <w:r>
        <w:t xml:space="preserve">Model Equations</w:t>
      </w:r>
    </w:p>
    <w:bookmarkStart w:id="23" w:name="Xbcbd61187f32f956efae91612e63594569be0d0"/>
    <w:p>
      <w:pPr>
        <w:pStyle w:val="Heading2"/>
      </w:pPr>
      <w:r>
        <w:t xml:space="preserve">Simple Regression Model 1: Marketing Spend</w:t>
      </w:r>
    </w:p>
    <w:bookmarkStart w:id="20" w:name="equation"/>
    <w:p>
      <w:pPr>
        <w:pStyle w:val="Heading3"/>
      </w:pPr>
      <w:r>
        <w:t xml:space="preserve">Equation</w:t>
      </w:r>
    </w:p>
    <w:p>
      <w:pPr>
        <w:pStyle w:val="FirstParagraph"/>
      </w:pPr>
      <w:r>
        <w:t xml:space="preserve">Monthly Sales = 560777.35 + 2.13 × Marketing Spend</w:t>
      </w:r>
    </w:p>
    <w:bookmarkEnd w:id="20"/>
    <w:bookmarkStart w:id="21" w:name="interpretation"/>
    <w:p>
      <w:pPr>
        <w:pStyle w:val="Heading3"/>
      </w:pPr>
      <w:r>
        <w:t xml:space="preserve">Interpretation</w:t>
      </w:r>
    </w:p>
    <w:p>
      <w:pPr>
        <w:pStyle w:val="Compact"/>
        <w:numPr>
          <w:ilvl w:val="0"/>
          <w:numId w:val="1001"/>
        </w:numPr>
      </w:pPr>
      <w:r>
        <w:t xml:space="preserve">Intercept (560777.35): Estimated monthly sales when marketing spend is zero.</w:t>
      </w:r>
    </w:p>
    <w:p>
      <w:pPr>
        <w:pStyle w:val="Compact"/>
        <w:numPr>
          <w:ilvl w:val="0"/>
          <w:numId w:val="1001"/>
        </w:numPr>
      </w:pPr>
      <w:r>
        <w:t xml:space="preserve">Marketing Spend Coefficient (2.13): For every additional unit spent on marketing, monthly sales are expected to increase by approximately 2.13 units.</w:t>
      </w:r>
    </w:p>
    <w:bookmarkEnd w:id="21"/>
    <w:bookmarkStart w:id="22" w:name="business-meaning"/>
    <w:p>
      <w:pPr>
        <w:pStyle w:val="Heading3"/>
      </w:pPr>
      <w:r>
        <w:t xml:space="preserve">Business Meaning</w:t>
      </w:r>
    </w:p>
    <w:p>
      <w:pPr>
        <w:pStyle w:val="FirstParagraph"/>
      </w:pPr>
      <w:r>
        <w:t xml:space="preserve">Marketing spend has a positive relationship with monthly sales and appears to be a statistically significant predictor.</w:t>
      </w:r>
    </w:p>
    <w:p>
      <w:r>
        <w:pict>
          <v:rect style="width:0;height:1.5pt" o:hralign="center" o:hrstd="t" o:hr="t"/>
        </w:pict>
      </w:r>
    </w:p>
    <w:bookmarkEnd w:id="22"/>
    <w:bookmarkEnd w:id="23"/>
    <w:bookmarkStart w:id="27" w:name="simple-regression-model-2-footfall"/>
    <w:p>
      <w:pPr>
        <w:pStyle w:val="Heading2"/>
      </w:pPr>
      <w:r>
        <w:t xml:space="preserve">Simple Regression Model 2: Footfall</w:t>
      </w:r>
    </w:p>
    <w:bookmarkStart w:id="24" w:name="equation-1"/>
    <w:p>
      <w:pPr>
        <w:pStyle w:val="Heading3"/>
      </w:pPr>
      <w:r>
        <w:t xml:space="preserve">Equation</w:t>
      </w:r>
    </w:p>
    <w:p>
      <w:pPr>
        <w:pStyle w:val="FirstParagraph"/>
      </w:pPr>
      <w:r>
        <w:t xml:space="preserve">Monthly Sales = 446410.58 + 35.68 × Footfall</w:t>
      </w:r>
    </w:p>
    <w:bookmarkEnd w:id="24"/>
    <w:bookmarkStart w:id="25" w:name="interpretation-1"/>
    <w:p>
      <w:pPr>
        <w:pStyle w:val="Heading3"/>
      </w:pPr>
      <w:r>
        <w:t xml:space="preserve">Interpretation</w:t>
      </w:r>
    </w:p>
    <w:p>
      <w:pPr>
        <w:pStyle w:val="Compact"/>
        <w:numPr>
          <w:ilvl w:val="0"/>
          <w:numId w:val="1002"/>
        </w:numPr>
      </w:pPr>
      <w:r>
        <w:t xml:space="preserve">Intercept (446410.58): Estimated monthly sales when footfall is zero.</w:t>
      </w:r>
    </w:p>
    <w:p>
      <w:pPr>
        <w:pStyle w:val="Compact"/>
        <w:numPr>
          <w:ilvl w:val="0"/>
          <w:numId w:val="1002"/>
        </w:numPr>
      </w:pPr>
      <w:r>
        <w:t xml:space="preserve">Footfall Coefficient (35.68): Each additional customer visit is associated with approximately 35.68 additional sales units.</w:t>
      </w:r>
    </w:p>
    <w:bookmarkEnd w:id="25"/>
    <w:bookmarkStart w:id="26" w:name="business-meaning-1"/>
    <w:p>
      <w:pPr>
        <w:pStyle w:val="Heading3"/>
      </w:pPr>
      <w:r>
        <w:t xml:space="preserve">Business Meaning</w:t>
      </w:r>
    </w:p>
    <w:p>
      <w:pPr>
        <w:pStyle w:val="FirstParagraph"/>
      </w:pPr>
      <w:r>
        <w:t xml:space="preserve">Footfall is the strongest individual predictor of monthly sales and explains a large proportion of sales variation.</w:t>
      </w:r>
    </w:p>
    <w:p>
      <w:r>
        <w:pict>
          <v:rect style="width:0;height:1.5pt" o:hralign="center" o:hrstd="t" o:hr="t"/>
        </w:pict>
      </w:r>
    </w:p>
    <w:bookmarkEnd w:id="26"/>
    <w:bookmarkEnd w:id="27"/>
    <w:bookmarkStart w:id="31" w:name="X0309479a7f3ea4f2afc522e48a17eafec24f8d2"/>
    <w:p>
      <w:pPr>
        <w:pStyle w:val="Heading2"/>
      </w:pPr>
      <w:r>
        <w:t xml:space="preserve">Simple Regression Model 3: Inventory Availability</w:t>
      </w:r>
    </w:p>
    <w:bookmarkStart w:id="28" w:name="equation-2"/>
    <w:p>
      <w:pPr>
        <w:pStyle w:val="Heading3"/>
      </w:pPr>
      <w:r>
        <w:t xml:space="preserve">Equation</w:t>
      </w:r>
    </w:p>
    <w:p>
      <w:pPr>
        <w:pStyle w:val="FirstParagraph"/>
      </w:pPr>
      <w:r>
        <w:t xml:space="preserve">Monthly Sales = 484814.26 + 2217.83 × Inventory Availability %</w:t>
      </w:r>
    </w:p>
    <w:bookmarkEnd w:id="28"/>
    <w:bookmarkStart w:id="29" w:name="interpretation-2"/>
    <w:p>
      <w:pPr>
        <w:pStyle w:val="Heading3"/>
      </w:pPr>
      <w:r>
        <w:t xml:space="preserve">Interpretation</w:t>
      </w:r>
    </w:p>
    <w:p>
      <w:pPr>
        <w:pStyle w:val="Compact"/>
        <w:numPr>
          <w:ilvl w:val="0"/>
          <w:numId w:val="1003"/>
        </w:numPr>
      </w:pPr>
      <w:r>
        <w:t xml:space="preserve">Intercept (484814.26): Estimated monthly sales when inventory availability is zero.</w:t>
      </w:r>
    </w:p>
    <w:p>
      <w:pPr>
        <w:pStyle w:val="Compact"/>
        <w:numPr>
          <w:ilvl w:val="0"/>
          <w:numId w:val="1003"/>
        </w:numPr>
      </w:pPr>
      <w:r>
        <w:t xml:space="preserve">Inventory Availability Coefficient (2217.83): Higher inventory availability is associated with increased monthly sales.</w:t>
      </w:r>
    </w:p>
    <w:bookmarkEnd w:id="29"/>
    <w:bookmarkStart w:id="30" w:name="business-meaning-2"/>
    <w:p>
      <w:pPr>
        <w:pStyle w:val="Heading3"/>
      </w:pPr>
      <w:r>
        <w:t xml:space="preserve">Business Meaning</w:t>
      </w:r>
    </w:p>
    <w:p>
      <w:pPr>
        <w:pStyle w:val="FirstParagraph"/>
      </w:pPr>
      <w:r>
        <w:t xml:space="preserve">Inventory availability positively influences sales but is a relatively weak standalone predictor.</w:t>
      </w:r>
    </w:p>
    <w:p>
      <w:r>
        <w:pict>
          <v:rect style="width:0;height:1.5pt" o:hralign="center" o:hrstd="t" o:hr="t"/>
        </w:pict>
      </w:r>
    </w:p>
    <w:bookmarkEnd w:id="30"/>
    <w:bookmarkEnd w:id="31"/>
    <w:bookmarkEnd w:id="32"/>
    <w:bookmarkStart w:id="37" w:name="dummy-variable-approach"/>
    <w:p>
      <w:pPr>
        <w:pStyle w:val="Heading1"/>
      </w:pPr>
      <w:r>
        <w:t xml:space="preserve">Dummy Variable Approach</w:t>
      </w:r>
    </w:p>
    <w:bookmarkStart w:id="33" w:name="selected-categorical-variable"/>
    <w:p>
      <w:pPr>
        <w:pStyle w:val="Heading2"/>
      </w:pPr>
      <w:r>
        <w:t xml:space="preserve">Selected Categorical Variable</w:t>
      </w:r>
    </w:p>
    <w:p>
      <w:pPr>
        <w:pStyle w:val="FirstParagraph"/>
      </w:pPr>
      <w:r>
        <w:t xml:space="preserve">Region</w:t>
      </w:r>
    </w:p>
    <w:bookmarkEnd w:id="33"/>
    <w:bookmarkStart w:id="34" w:name="reference-category"/>
    <w:p>
      <w:pPr>
        <w:pStyle w:val="Heading2"/>
      </w:pPr>
      <w:r>
        <w:t xml:space="preserve">Reference Category</w:t>
      </w:r>
    </w:p>
    <w:p>
      <w:pPr>
        <w:pStyle w:val="FirstParagraph"/>
      </w:pPr>
      <w:r>
        <w:t xml:space="preserve">East</w:t>
      </w:r>
    </w:p>
    <w:p>
      <w:pPr>
        <w:pStyle w:val="BodyText"/>
      </w:pPr>
      <w:r>
        <w:t xml:space="preserve">The East region was used as the reference category and excluded from the regression equation to avoid the dummy variable trap.</w:t>
      </w:r>
    </w:p>
    <w:bookmarkEnd w:id="34"/>
    <w:bookmarkStart w:id="36" w:name="dummy-variables-created"/>
    <w:p>
      <w:pPr>
        <w:pStyle w:val="Heading2"/>
      </w:pPr>
      <w:r>
        <w:t xml:space="preserve">Dummy Variables Created</w:t>
      </w:r>
    </w:p>
    <w:p>
      <w:pPr>
        <w:pStyle w:val="Compact"/>
        <w:numPr>
          <w:ilvl w:val="0"/>
          <w:numId w:val="1004"/>
        </w:numPr>
      </w:pPr>
      <w:r>
        <w:t xml:space="preserve">North</w:t>
      </w:r>
    </w:p>
    <w:p>
      <w:pPr>
        <w:pStyle w:val="Compact"/>
        <w:numPr>
          <w:ilvl w:val="0"/>
          <w:numId w:val="1004"/>
        </w:numPr>
      </w:pPr>
      <w:r>
        <w:t xml:space="preserve">South</w:t>
      </w:r>
    </w:p>
    <w:p>
      <w:pPr>
        <w:pStyle w:val="Compact"/>
        <w:numPr>
          <w:ilvl w:val="0"/>
          <w:numId w:val="1004"/>
        </w:numPr>
      </w:pPr>
      <w:r>
        <w:t xml:space="preserve">West</w:t>
      </w:r>
    </w:p>
    <w:bookmarkStart w:id="35" w:name="encoding"/>
    <w:p>
      <w:pPr>
        <w:pStyle w:val="Heading3"/>
      </w:pPr>
      <w:r>
        <w:t xml:space="preserve">Encoding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North</w:t>
            </w:r>
          </w:p>
        </w:tc>
        <w:tc>
          <w:tcPr/>
          <w:p>
            <w:pPr>
              <w:pStyle w:val="Compact"/>
            </w:pPr>
            <w:r>
              <w:t xml:space="preserve">South</w:t>
            </w:r>
          </w:p>
        </w:tc>
        <w:tc>
          <w:tcPr/>
          <w:p>
            <w:pPr>
              <w:pStyle w:val="Compact"/>
            </w:pPr>
            <w:r>
              <w:t xml:space="preserve">West</w:t>
            </w:r>
          </w:p>
        </w:tc>
      </w:tr>
      <w:tr>
        <w:tc>
          <w:tcPr/>
          <w:p>
            <w:pPr>
              <w:pStyle w:val="Compact"/>
            </w:pPr>
            <w:r>
              <w:t xml:space="preserve">East</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North</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South</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West</w:t>
            </w:r>
          </w:p>
        </w:tc>
        <w:tc>
          <w:tcPr/>
          <w:p>
            <w:pPr>
              <w:pStyle w:val="Compact"/>
            </w:pPr>
            <w:r>
              <w:t xml:space="preserve">0</w:t>
            </w:r>
          </w:p>
        </w:tc>
        <w:tc>
          <w:tcPr/>
          <w:p>
            <w:pPr>
              <w:pStyle w:val="Compact"/>
            </w:pPr>
            <w:r>
              <w:t xml:space="preserve">0</w:t>
            </w:r>
          </w:p>
        </w:tc>
        <w:tc>
          <w:tcPr/>
          <w:p>
            <w:pPr>
              <w:pStyle w:val="Compact"/>
            </w:pPr>
            <w:r>
              <w:t xml:space="preserve">1</w:t>
            </w:r>
          </w:p>
        </w:tc>
      </w:tr>
    </w:tbl>
    <w:p>
      <w:r>
        <w:pict>
          <v:rect style="width:0;height:1.5pt" o:hralign="center" o:hrstd="t" o:hr="t"/>
        </w:pict>
      </w:r>
    </w:p>
    <w:bookmarkEnd w:id="35"/>
    <w:bookmarkEnd w:id="36"/>
    <w:bookmarkEnd w:id="37"/>
    <w:bookmarkStart w:id="39" w:name="multiple-regression-model"/>
    <w:p>
      <w:pPr>
        <w:pStyle w:val="Heading1"/>
      </w:pPr>
      <w:r>
        <w:t xml:space="preserve">Multiple Regression Model</w:t>
      </w:r>
    </w:p>
    <w:bookmarkStart w:id="38" w:name="equation-3"/>
    <w:p>
      <w:pPr>
        <w:pStyle w:val="Heading3"/>
      </w:pPr>
      <w:r>
        <w:t xml:space="preserve">Equation</w:t>
      </w:r>
    </w:p>
    <w:p>
      <w:pPr>
        <w:pStyle w:val="FirstParagraph"/>
      </w:pPr>
      <w:r>
        <w:t xml:space="preserve">Monthly Sales</w:t>
      </w:r>
    </w:p>
    <w:p>
      <w:pPr>
        <w:pStyle w:val="BodyText"/>
      </w:pPr>
      <w:r>
        <w:t xml:space="preserve">= 131460.31</w:t>
      </w:r>
    </w:p>
    <w:p>
      <w:pPr>
        <w:numPr>
          <w:ilvl w:val="0"/>
          <w:numId w:val="1005"/>
        </w:numPr>
      </w:pPr>
      <w:r>
        <w:t xml:space="preserve">1.19 × Marketing Spend</w:t>
      </w:r>
    </w:p>
    <w:p>
      <w:pPr>
        <w:numPr>
          <w:ilvl w:val="0"/>
          <w:numId w:val="1005"/>
        </w:numPr>
      </w:pPr>
      <w:r>
        <w:t xml:space="preserve">33.87 × Footfall</w:t>
      </w:r>
    </w:p>
    <w:p>
      <w:pPr>
        <w:numPr>
          <w:ilvl w:val="0"/>
          <w:numId w:val="1005"/>
        </w:numPr>
      </w:pPr>
      <w:r>
        <w:t xml:space="preserve">2818.21 × Inventory Availability %</w:t>
      </w:r>
    </w:p>
    <w:p>
      <w:pPr>
        <w:numPr>
          <w:ilvl w:val="0"/>
          <w:numId w:val="1005"/>
        </w:numPr>
      </w:pPr>
      <w:r>
        <w:t xml:space="preserve">10547.38 × North</w:t>
      </w:r>
    </w:p>
    <w:p>
      <w:pPr>
        <w:numPr>
          <w:ilvl w:val="0"/>
          <w:numId w:val="1005"/>
        </w:numPr>
      </w:pPr>
      <w:r>
        <w:t xml:space="preserve">21940.49 × South</w:t>
      </w:r>
    </w:p>
    <w:p>
      <w:pPr>
        <w:numPr>
          <w:ilvl w:val="0"/>
          <w:numId w:val="1005"/>
        </w:numPr>
      </w:pPr>
      <w:r>
        <w:t xml:space="preserve">17491.37 × West</w:t>
      </w:r>
    </w:p>
    <w:p>
      <w:r>
        <w:pict>
          <v:rect style="width:0;height:1.5pt" o:hralign="center" o:hrstd="t" o:hr="t"/>
        </w:pict>
      </w:r>
    </w:p>
    <w:bookmarkEnd w:id="38"/>
    <w:bookmarkEnd w:id="39"/>
    <w:bookmarkStart w:id="46" w:name="coefficient-interpretation"/>
    <w:p>
      <w:pPr>
        <w:pStyle w:val="Heading1"/>
      </w:pPr>
      <w:r>
        <w:t xml:space="preserve">Coefficient Interpretation</w:t>
      </w:r>
    </w:p>
    <w:bookmarkStart w:id="40" w:name="marketing-spend"/>
    <w:p>
      <w:pPr>
        <w:pStyle w:val="Heading3"/>
      </w:pPr>
      <w:r>
        <w:t xml:space="preserve">Marketing Spend</w:t>
      </w:r>
    </w:p>
    <w:p>
      <w:pPr>
        <w:pStyle w:val="FirstParagraph"/>
      </w:pPr>
      <w:r>
        <w:t xml:space="preserve">A one-unit increase in marketing spend is associated with approximately 1.19 additional sales units, holding other variables constant.</w:t>
      </w:r>
    </w:p>
    <w:bookmarkEnd w:id="40"/>
    <w:bookmarkStart w:id="41" w:name="footfall"/>
    <w:p>
      <w:pPr>
        <w:pStyle w:val="Heading3"/>
      </w:pPr>
      <w:r>
        <w:t xml:space="preserve">Footfall</w:t>
      </w:r>
    </w:p>
    <w:p>
      <w:pPr>
        <w:pStyle w:val="FirstParagraph"/>
      </w:pPr>
      <w:r>
        <w:t xml:space="preserve">Each additional customer visit is associated with approximately 33.87 additional sales units, holding other variables constant.</w:t>
      </w:r>
    </w:p>
    <w:bookmarkEnd w:id="41"/>
    <w:bookmarkStart w:id="42" w:name="inventory-availability"/>
    <w:p>
      <w:pPr>
        <w:pStyle w:val="Heading3"/>
      </w:pPr>
      <w:r>
        <w:t xml:space="preserve">Inventory Availability</w:t>
      </w:r>
    </w:p>
    <w:p>
      <w:pPr>
        <w:pStyle w:val="FirstParagraph"/>
      </w:pPr>
      <w:r>
        <w:t xml:space="preserve">Higher inventory availability contributes positively to monthly sales performance.</w:t>
      </w:r>
    </w:p>
    <w:bookmarkEnd w:id="42"/>
    <w:bookmarkStart w:id="43" w:name="north-region"/>
    <w:p>
      <w:pPr>
        <w:pStyle w:val="Heading3"/>
      </w:pPr>
      <w:r>
        <w:t xml:space="preserve">North Region</w:t>
      </w:r>
    </w:p>
    <w:p>
      <w:pPr>
        <w:pStyle w:val="FirstParagraph"/>
      </w:pPr>
      <w:r>
        <w:t xml:space="preserve">North region stores are estimated to generate approximately 10,547 additional sales units compared with East region stores.</w:t>
      </w:r>
    </w:p>
    <w:bookmarkEnd w:id="43"/>
    <w:bookmarkStart w:id="44" w:name="south-region"/>
    <w:p>
      <w:pPr>
        <w:pStyle w:val="Heading3"/>
      </w:pPr>
      <w:r>
        <w:t xml:space="preserve">South Region</w:t>
      </w:r>
    </w:p>
    <w:p>
      <w:pPr>
        <w:pStyle w:val="FirstParagraph"/>
      </w:pPr>
      <w:r>
        <w:t xml:space="preserve">South region stores are estimated to generate approximately 21,940 additional sales units compared with East region stores.</w:t>
      </w:r>
    </w:p>
    <w:bookmarkEnd w:id="44"/>
    <w:bookmarkStart w:id="45" w:name="west-region"/>
    <w:p>
      <w:pPr>
        <w:pStyle w:val="Heading3"/>
      </w:pPr>
      <w:r>
        <w:t xml:space="preserve">West Region</w:t>
      </w:r>
    </w:p>
    <w:p>
      <w:pPr>
        <w:pStyle w:val="FirstParagraph"/>
      </w:pPr>
      <w:r>
        <w:t xml:space="preserve">West region stores are estimated to generate approximately 17,491 additional sales units compared with East region stores.</w:t>
      </w:r>
    </w:p>
    <w:p>
      <w:r>
        <w:pict>
          <v:rect style="width:0;height:1.5pt" o:hralign="center" o:hrstd="t" o:hr="t"/>
        </w:pict>
      </w:r>
    </w:p>
    <w:bookmarkEnd w:id="45"/>
    <w:bookmarkEnd w:id="46"/>
    <w:bookmarkStart w:id="50" w:name="final-model-selected"/>
    <w:p>
      <w:pPr>
        <w:pStyle w:val="Heading1"/>
      </w:pPr>
      <w:r>
        <w:t xml:space="preserve">Final Model Selected</w:t>
      </w:r>
    </w:p>
    <w:bookmarkStart w:id="47" w:name="selected-model"/>
    <w:p>
      <w:pPr>
        <w:pStyle w:val="Heading2"/>
      </w:pPr>
      <w:r>
        <w:t xml:space="preserve">Selected Model</w:t>
      </w:r>
    </w:p>
    <w:p>
      <w:pPr>
        <w:pStyle w:val="FirstParagraph"/>
      </w:pPr>
      <w:r>
        <w:t xml:space="preserve">Multiple Regression Model</w:t>
      </w:r>
    </w:p>
    <w:bookmarkEnd w:id="47"/>
    <w:bookmarkStart w:id="48" w:name="reason-for-selection"/>
    <w:p>
      <w:pPr>
        <w:pStyle w:val="Heading2"/>
      </w:pPr>
      <w:r>
        <w:t xml:space="preserve">Reason for Selection</w:t>
      </w:r>
    </w:p>
    <w:p>
      <w:pPr>
        <w:pStyle w:val="Compact"/>
        <w:numPr>
          <w:ilvl w:val="0"/>
          <w:numId w:val="1006"/>
        </w:numPr>
      </w:pPr>
      <w:r>
        <w:t xml:space="preserve">Highest R² value (0.811)</w:t>
      </w:r>
    </w:p>
    <w:p>
      <w:pPr>
        <w:pStyle w:val="Compact"/>
        <w:numPr>
          <w:ilvl w:val="0"/>
          <w:numId w:val="1006"/>
        </w:numPr>
      </w:pPr>
      <w:r>
        <w:t xml:space="preserve">Strongest explanatory power</w:t>
      </w:r>
    </w:p>
    <w:p>
      <w:pPr>
        <w:pStyle w:val="Compact"/>
        <w:numPr>
          <w:ilvl w:val="0"/>
          <w:numId w:val="1006"/>
        </w:numPr>
      </w:pPr>
      <w:r>
        <w:t xml:space="preserve">Includes multiple significant business variables</w:t>
      </w:r>
    </w:p>
    <w:p>
      <w:pPr>
        <w:pStyle w:val="Compact"/>
        <w:numPr>
          <w:ilvl w:val="0"/>
          <w:numId w:val="1006"/>
        </w:numPr>
      </w:pPr>
      <w:r>
        <w:t xml:space="preserve">Provides actionable business insights</w:t>
      </w:r>
    </w:p>
    <w:p>
      <w:pPr>
        <w:pStyle w:val="Compact"/>
        <w:numPr>
          <w:ilvl w:val="0"/>
          <w:numId w:val="1006"/>
        </w:numPr>
      </w:pPr>
      <w:r>
        <w:t xml:space="preserve">Most suitable for management decision-making and forecasting</w:t>
      </w:r>
    </w:p>
    <w:bookmarkEnd w:id="48"/>
    <w:bookmarkStart w:id="49" w:name="conclusion"/>
    <w:p>
      <w:pPr>
        <w:pStyle w:val="Heading2"/>
      </w:pPr>
      <w:r>
        <w:t xml:space="preserve">Conclusion</w:t>
      </w:r>
    </w:p>
    <w:p>
      <w:pPr>
        <w:pStyle w:val="FirstParagraph"/>
      </w:pPr>
      <w:r>
        <w:t xml:space="preserve">The final model suggests that footfall, marketing spend, inventory availability, and regional characteristics are the most important factors associated with monthly sales performance. Among these variables, footfall demonstrates the strongest influence on sales outcomes.</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2026-06-28T11:10:53Z</dcterms:created>
  <dcterms:modified xsi:type="dcterms:W3CDTF">2026-06-28T11:10:53Z</dcterms:modified>
</cp:coreProperties>
</file>

<file path=docProps/custom.xml><?xml version="1.0" encoding="utf-8"?>
<Properties xmlns="http://schemas.openxmlformats.org/officeDocument/2006/custom-properties" xmlns:vt="http://schemas.openxmlformats.org/officeDocument/2006/docPropsVTypes"/>
</file>