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ecutive-dashboard-story"/>
    <w:p>
      <w:pPr>
        <w:pStyle w:val="Heading1"/>
      </w:pPr>
      <w:r>
        <w:t xml:space="preserve">Executive Dashboard Story</w:t>
      </w:r>
    </w:p>
    <w:bookmarkStart w:id="20" w:name="executive-summary"/>
    <w:p>
      <w:pPr>
        <w:pStyle w:val="Heading2"/>
      </w:pPr>
      <w:r>
        <w:t xml:space="preserve">Executive Summary</w:t>
      </w:r>
    </w:p>
    <w:p>
      <w:pPr>
        <w:pStyle w:val="FirstParagraph"/>
      </w:pPr>
      <w:r>
        <w:t xml:space="preserve">The Retail Executive Dashboard provides a comprehensive view of sales performance, profitability, customer behavior, discount effectiveness, shipping efficiency, and return patterns. The dashboard is designed to support leadership decision-making by highlighting areas of growth, operational challenges, and profitability risks.</w:t>
      </w:r>
    </w:p>
    <w:bookmarkEnd w:id="20"/>
    <w:bookmarkStart w:id="21" w:name="what-is-performing-well"/>
    <w:p>
      <w:pPr>
        <w:pStyle w:val="Heading2"/>
      </w:pPr>
      <w:r>
        <w:t xml:space="preserve">What Is Performing Well</w:t>
      </w:r>
    </w:p>
    <w:p>
      <w:pPr>
        <w:pStyle w:val="FirstParagraph"/>
      </w:pPr>
      <w:r>
        <w:t xml:space="preserve">The organization demonstrates healthy sales performance across multiple regions and product categories. Several customer segments contribute consistently to revenue growth, while profitable categories continue to drive business performance. Strong-performing regions indicate successful market penetration and customer engagement strategies.</w:t>
      </w:r>
    </w:p>
    <w:bookmarkEnd w:id="21"/>
    <w:bookmarkStart w:id="22" w:name="what-is-underperforming"/>
    <w:p>
      <w:pPr>
        <w:pStyle w:val="Heading2"/>
      </w:pPr>
      <w:r>
        <w:t xml:space="preserve">What Is Underperforming</w:t>
      </w:r>
    </w:p>
    <w:p>
      <w:pPr>
        <w:pStyle w:val="FirstParagraph"/>
      </w:pPr>
      <w:r>
        <w:t xml:space="preserve">Not all business areas are performing equally. Certain categories generate substantial revenue but contribute limited profit. Some customer segments exhibit lower profitability despite strong sales volumes. Shipping delays and elevated return rates also indicate operational inefficiencies that require attention.</w:t>
      </w:r>
    </w:p>
    <w:bookmarkEnd w:id="22"/>
    <w:bookmarkStart w:id="23" w:name="risks-visible-in-the-dashboard"/>
    <w:p>
      <w:pPr>
        <w:pStyle w:val="Heading2"/>
      </w:pPr>
      <w:r>
        <w:t xml:space="preserve">Risks Visible in the Dashboard</w:t>
      </w:r>
    </w:p>
    <w:p>
      <w:pPr>
        <w:pStyle w:val="FirstParagraph"/>
      </w:pPr>
      <w:r>
        <w:t xml:space="preserve">The dashboard highlights three primary risks:</w:t>
      </w:r>
    </w:p>
    <w:p>
      <w:pPr>
        <w:pStyle w:val="Compact"/>
        <w:numPr>
          <w:ilvl w:val="0"/>
          <w:numId w:val="1001"/>
        </w:numPr>
      </w:pPr>
      <w:r>
        <w:t xml:space="preserve">Profit margin erosion caused by excessive discounting.</w:t>
      </w:r>
    </w:p>
    <w:p>
      <w:pPr>
        <w:pStyle w:val="Compact"/>
        <w:numPr>
          <w:ilvl w:val="0"/>
          <w:numId w:val="1001"/>
        </w:numPr>
      </w:pPr>
      <w:r>
        <w:t xml:space="preserve">Customer dissatisfaction resulting from delayed deliveries.</w:t>
      </w:r>
    </w:p>
    <w:p>
      <w:pPr>
        <w:pStyle w:val="Compact"/>
        <w:numPr>
          <w:ilvl w:val="0"/>
          <w:numId w:val="1001"/>
        </w:numPr>
      </w:pPr>
      <w:r>
        <w:t xml:space="preserve">Revenue leakage due to high product return rates.</w:t>
      </w:r>
    </w:p>
    <w:p>
      <w:pPr>
        <w:pStyle w:val="FirstParagraph"/>
      </w:pPr>
      <w:r>
        <w:t xml:space="preserve">If these issues continue, overall profitability may decline despite increasing sales volume.</w:t>
      </w:r>
    </w:p>
    <w:bookmarkEnd w:id="23"/>
    <w:bookmarkStart w:id="24" w:name="opportunities-visible-in-the-dashboard"/>
    <w:p>
      <w:pPr>
        <w:pStyle w:val="Heading2"/>
      </w:pPr>
      <w:r>
        <w:t xml:space="preserve">Opportunities Visible in the Dashboard</w:t>
      </w:r>
    </w:p>
    <w:p>
      <w:pPr>
        <w:pStyle w:val="FirstParagraph"/>
      </w:pPr>
      <w:r>
        <w:t xml:space="preserve">Several growth opportunities are evident:</w:t>
      </w:r>
    </w:p>
    <w:p>
      <w:pPr>
        <w:pStyle w:val="Compact"/>
        <w:numPr>
          <w:ilvl w:val="0"/>
          <w:numId w:val="1002"/>
        </w:numPr>
      </w:pPr>
      <w:r>
        <w:t xml:space="preserve">Expansion of high-performing product categories.</w:t>
      </w:r>
    </w:p>
    <w:p>
      <w:pPr>
        <w:pStyle w:val="Compact"/>
        <w:numPr>
          <w:ilvl w:val="0"/>
          <w:numId w:val="1002"/>
        </w:numPr>
      </w:pPr>
      <w:r>
        <w:t xml:space="preserve">Increased focus on profitable customer segments.</w:t>
      </w:r>
    </w:p>
    <w:p>
      <w:pPr>
        <w:pStyle w:val="Compact"/>
        <w:numPr>
          <w:ilvl w:val="0"/>
          <w:numId w:val="1002"/>
        </w:numPr>
      </w:pPr>
      <w:r>
        <w:t xml:space="preserve">Geographic expansion into regions with demonstrated success.</w:t>
      </w:r>
    </w:p>
    <w:p>
      <w:pPr>
        <w:pStyle w:val="Compact"/>
        <w:numPr>
          <w:ilvl w:val="0"/>
          <w:numId w:val="1002"/>
        </w:numPr>
      </w:pPr>
      <w:r>
        <w:t xml:space="preserve">Optimization of pricing and promotional strategies.</w:t>
      </w:r>
    </w:p>
    <w:p>
      <w:pPr>
        <w:pStyle w:val="FirstParagraph"/>
      </w:pPr>
      <w:r>
        <w:t xml:space="preserve">These opportunities can improve both revenue and profit growth.</w:t>
      </w:r>
    </w:p>
    <w:bookmarkEnd w:id="24"/>
    <w:bookmarkStart w:id="25" w:name="recommended-business-actions"/>
    <w:p>
      <w:pPr>
        <w:pStyle w:val="Heading2"/>
      </w:pPr>
      <w:r>
        <w:t xml:space="preserve">Recommended Business Actions</w:t>
      </w:r>
    </w:p>
    <w:p>
      <w:pPr>
        <w:pStyle w:val="Compact"/>
        <w:numPr>
          <w:ilvl w:val="0"/>
          <w:numId w:val="1003"/>
        </w:numPr>
      </w:pPr>
      <w:r>
        <w:t xml:space="preserve">Reduce dependency on broad discounting campaigns.</w:t>
      </w:r>
    </w:p>
    <w:p>
      <w:pPr>
        <w:pStyle w:val="Compact"/>
        <w:numPr>
          <w:ilvl w:val="0"/>
          <w:numId w:val="1003"/>
        </w:numPr>
      </w:pPr>
      <w:r>
        <w:t xml:space="preserve">Improve shipping efficiency through logistics optimization.</w:t>
      </w:r>
    </w:p>
    <w:p>
      <w:pPr>
        <w:pStyle w:val="Compact"/>
        <w:numPr>
          <w:ilvl w:val="0"/>
          <w:numId w:val="1003"/>
        </w:numPr>
      </w:pPr>
      <w:r>
        <w:t xml:space="preserve">Investigate categories with high return rates.</w:t>
      </w:r>
    </w:p>
    <w:p>
      <w:pPr>
        <w:pStyle w:val="Compact"/>
        <w:numPr>
          <w:ilvl w:val="0"/>
          <w:numId w:val="1003"/>
        </w:numPr>
      </w:pPr>
      <w:r>
        <w:t xml:space="preserve">Increase investment in high-margin products and segments.</w:t>
      </w:r>
    </w:p>
    <w:p>
      <w:pPr>
        <w:pStyle w:val="Compact"/>
        <w:numPr>
          <w:ilvl w:val="0"/>
          <w:numId w:val="1003"/>
        </w:numPr>
      </w:pPr>
      <w:r>
        <w:t xml:space="preserve">Replicate successful regional strategies across weaker markets.</w:t>
      </w:r>
    </w:p>
    <w:bookmarkEnd w:id="25"/>
    <w:bookmarkStart w:id="26" w:name="dashboard-limitations"/>
    <w:p>
      <w:pPr>
        <w:pStyle w:val="Heading2"/>
      </w:pPr>
      <w:r>
        <w:t xml:space="preserve">Dashboard Limitations</w:t>
      </w:r>
    </w:p>
    <w:p>
      <w:pPr>
        <w:pStyle w:val="FirstParagraph"/>
      </w:pPr>
      <w:r>
        <w:t xml:space="preserve">The dashboard focuses on transactional sales data and does not include:</w:t>
      </w:r>
    </w:p>
    <w:p>
      <w:pPr>
        <w:pStyle w:val="Compact"/>
        <w:numPr>
          <w:ilvl w:val="0"/>
          <w:numId w:val="1004"/>
        </w:numPr>
      </w:pPr>
      <w:r>
        <w:t xml:space="preserve">Customer lifetime value</w:t>
      </w:r>
    </w:p>
    <w:p>
      <w:pPr>
        <w:pStyle w:val="Compact"/>
        <w:numPr>
          <w:ilvl w:val="0"/>
          <w:numId w:val="1004"/>
        </w:numPr>
      </w:pPr>
      <w:r>
        <w:t xml:space="preserve">Inventory levels</w:t>
      </w:r>
    </w:p>
    <w:p>
      <w:pPr>
        <w:pStyle w:val="Compact"/>
        <w:numPr>
          <w:ilvl w:val="0"/>
          <w:numId w:val="1004"/>
        </w:numPr>
      </w:pPr>
      <w:r>
        <w:t xml:space="preserve">Marketing expenditure</w:t>
      </w:r>
    </w:p>
    <w:p>
      <w:pPr>
        <w:pStyle w:val="Compact"/>
        <w:numPr>
          <w:ilvl w:val="0"/>
          <w:numId w:val="1004"/>
        </w:numPr>
      </w:pPr>
      <w:r>
        <w:t xml:space="preserve">Competitor benchmarking</w:t>
      </w:r>
    </w:p>
    <w:p>
      <w:pPr>
        <w:pStyle w:val="Compact"/>
        <w:numPr>
          <w:ilvl w:val="0"/>
          <w:numId w:val="1004"/>
        </w:numPr>
      </w:pPr>
      <w:r>
        <w:t xml:space="preserve">Customer acquisition costs</w:t>
      </w:r>
    </w:p>
    <w:p>
      <w:pPr>
        <w:pStyle w:val="FirstParagraph"/>
      </w:pPr>
      <w:r>
        <w:t xml:space="preserve">These limitations restrict deeper profitability analysis.</w:t>
      </w:r>
    </w:p>
    <w:bookmarkEnd w:id="26"/>
    <w:bookmarkStart w:id="27" w:name="suggested-next-analysis"/>
    <w:p>
      <w:pPr>
        <w:pStyle w:val="Heading2"/>
      </w:pPr>
      <w:r>
        <w:t xml:space="preserve">Suggested Next Analysis</w:t>
      </w:r>
    </w:p>
    <w:p>
      <w:pPr>
        <w:pStyle w:val="FirstParagraph"/>
      </w:pPr>
      <w:r>
        <w:t xml:space="preserve">Future analysis should include:</w:t>
      </w:r>
    </w:p>
    <w:p>
      <w:pPr>
        <w:pStyle w:val="Compact"/>
        <w:numPr>
          <w:ilvl w:val="0"/>
          <w:numId w:val="1005"/>
        </w:numPr>
      </w:pPr>
      <w:r>
        <w:t xml:space="preserve">Customer churn prediction</w:t>
      </w:r>
    </w:p>
    <w:p>
      <w:pPr>
        <w:pStyle w:val="Compact"/>
        <w:numPr>
          <w:ilvl w:val="0"/>
          <w:numId w:val="1005"/>
        </w:numPr>
      </w:pPr>
      <w:r>
        <w:t xml:space="preserve">Customer lifetime value analysis</w:t>
      </w:r>
    </w:p>
    <w:p>
      <w:pPr>
        <w:pStyle w:val="Compact"/>
        <w:numPr>
          <w:ilvl w:val="0"/>
          <w:numId w:val="1005"/>
        </w:numPr>
      </w:pPr>
      <w:r>
        <w:t xml:space="preserve">Product affinity and basket analysis</w:t>
      </w:r>
    </w:p>
    <w:p>
      <w:pPr>
        <w:pStyle w:val="Compact"/>
        <w:numPr>
          <w:ilvl w:val="0"/>
          <w:numId w:val="1005"/>
        </w:numPr>
      </w:pPr>
      <w:r>
        <w:t xml:space="preserve">Demand forecasting</w:t>
      </w:r>
    </w:p>
    <w:p>
      <w:pPr>
        <w:pStyle w:val="Compact"/>
        <w:numPr>
          <w:ilvl w:val="0"/>
          <w:numId w:val="1005"/>
        </w:numPr>
      </w:pPr>
      <w:r>
        <w:t xml:space="preserve">Regional market expansion opportunities</w:t>
      </w:r>
    </w:p>
    <w:p>
      <w:pPr>
        <w:pStyle w:val="FirstParagraph"/>
      </w:pPr>
      <w:r>
        <w:t xml:space="preserve">Together, these analyses would provide a more complete view of long-term business performance and strategic growth opportunities.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2026-06-28T12:31:42Z</dcterms:created>
  <dcterms:modified xsi:type="dcterms:W3CDTF">2026-06-28T12:31:42Z</dcterms:modified>
</cp:coreProperties>
</file>

<file path=docProps/custom.xml><?xml version="1.0" encoding="utf-8"?>
<Properties xmlns="http://schemas.openxmlformats.org/officeDocument/2006/custom-properties" xmlns:vt="http://schemas.openxmlformats.org/officeDocument/2006/docPropsVTypes"/>
</file>