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B4D8"/>
          <w:sz w:val="56"/>
        </w:rPr>
        <w:t>⚡  PROCUREMENT COMMAND CENTER</w:t>
      </w:r>
    </w:p>
    <w:p>
      <w:pPr>
        <w:jc w:val="center"/>
      </w:pPr>
      <w:r>
        <w:rPr>
          <w:i/>
          <w:color w:val="64748B"/>
          <w:sz w:val="26"/>
        </w:rPr>
        <w:t>Technical Reference &amp; System Design Document  —  v4.0</w:t>
      </w:r>
    </w:p>
    <w:p>
      <w:pPr>
        <w:jc w:val="center"/>
      </w:pPr>
      <w:r>
        <w:rPr>
          <w:color w:val="64748B"/>
          <w:sz w:val="22"/>
        </w:rPr>
        <w:t>Bryair Asia  ·  May 2026  ·  Confidential</w:t>
      </w:r>
    </w:p>
    <w:p/>
    <w:p>
      <w:pPr>
        <w:spacing w:before="440" w:after="100"/>
        <w:pBdr>
          <w:bottom w:val="single" w:sz="6" w:space="4" w:color="00B4D8"/>
        </w:pBdr>
      </w:pPr>
      <w:r>
        <w:rPr>
          <w:b/>
          <w:color w:val="00B4D8"/>
          <w:sz w:val="34"/>
        </w:rPr>
        <w:t>Table of Contents</w:t>
      </w:r>
    </w:p>
    <w:p>
      <w:pPr>
        <w:pStyle w:val="ListBullet"/>
        <w:spacing w:after="60"/>
        <w:ind w:left="454"/>
      </w:pPr>
      <w:r>
        <w:rPr>
          <w:sz w:val="21"/>
        </w:rPr>
        <w:t>1.  System Overview &amp; Architecture</w:t>
      </w:r>
    </w:p>
    <w:p>
      <w:pPr>
        <w:pStyle w:val="ListBullet"/>
        <w:spacing w:after="60"/>
        <w:ind w:left="454"/>
      </w:pPr>
      <w:r>
        <w:rPr>
          <w:sz w:val="21"/>
        </w:rPr>
        <w:t>2.  Data Sources &amp; Ingestion Pipeline</w:t>
      </w:r>
    </w:p>
    <w:p>
      <w:pPr>
        <w:pStyle w:val="ListBullet"/>
        <w:spacing w:after="60"/>
        <w:ind w:left="454"/>
      </w:pPr>
      <w:r>
        <w:rPr>
          <w:sz w:val="21"/>
        </w:rPr>
        <w:t>3.  Database Schema</w:t>
      </w:r>
    </w:p>
    <w:p>
      <w:pPr>
        <w:pStyle w:val="ListBullet"/>
        <w:spacing w:after="60"/>
        <w:ind w:left="454"/>
      </w:pPr>
      <w:r>
        <w:rPr>
          <w:sz w:val="21"/>
        </w:rPr>
        <w:t>4.  ABC Classification (Pareto / Value Segmentation)</w:t>
      </w:r>
    </w:p>
    <w:p>
      <w:pPr>
        <w:pStyle w:val="ListBullet"/>
        <w:spacing w:after="60"/>
        <w:ind w:left="454"/>
      </w:pPr>
      <w:r>
        <w:rPr>
          <w:sz w:val="21"/>
        </w:rPr>
        <w:t>5.  XYZ Classification (Demand Volatility Segmentation)</w:t>
      </w:r>
    </w:p>
    <w:p>
      <w:pPr>
        <w:pStyle w:val="ListBullet"/>
        <w:spacing w:after="60"/>
        <w:ind w:left="454"/>
      </w:pPr>
      <w:r>
        <w:rPr>
          <w:sz w:val="21"/>
        </w:rPr>
        <w:t>6.  ABC–XYZ Matrix: Strategic Stocking Policy</w:t>
      </w:r>
    </w:p>
    <w:p>
      <w:pPr>
        <w:pStyle w:val="ListBullet"/>
        <w:spacing w:after="60"/>
        <w:ind w:left="454"/>
      </w:pPr>
      <w:r>
        <w:rPr>
          <w:sz w:val="21"/>
        </w:rPr>
        <w:t>7.  TBO (To Be Ordered) Calculation</w:t>
      </w:r>
    </w:p>
    <w:p>
      <w:pPr>
        <w:pStyle w:val="ListBullet"/>
        <w:spacing w:after="60"/>
        <w:ind w:left="454"/>
      </w:pPr>
      <w:r>
        <w:rPr>
          <w:sz w:val="21"/>
        </w:rPr>
        <w:t>8.  Reorder Point (ROP) Logic</w:t>
      </w:r>
    </w:p>
    <w:p>
      <w:pPr>
        <w:pStyle w:val="ListBullet"/>
        <w:spacing w:after="60"/>
        <w:ind w:left="454"/>
      </w:pPr>
      <w:r>
        <w:rPr>
          <w:sz w:val="21"/>
        </w:rPr>
        <w:t>9.  Criticality Flag</w:t>
      </w:r>
    </w:p>
    <w:p>
      <w:pPr>
        <w:pStyle w:val="ListBullet"/>
        <w:spacing w:after="60"/>
        <w:ind w:left="454"/>
      </w:pPr>
      <w:r>
        <w:rPr>
          <w:sz w:val="21"/>
        </w:rPr>
        <w:t>10. Safety Stock — Theory &amp; Formulas</w:t>
      </w:r>
    </w:p>
    <w:p>
      <w:pPr>
        <w:pStyle w:val="ListBullet"/>
        <w:spacing w:after="60"/>
        <w:ind w:left="454"/>
      </w:pPr>
      <w:r>
        <w:rPr>
          <w:sz w:val="21"/>
        </w:rPr>
        <w:t>11. Demand Forecasting Model</w:t>
      </w:r>
    </w:p>
    <w:p>
      <w:pPr>
        <w:pStyle w:val="ListBullet"/>
        <w:spacing w:after="60"/>
        <w:ind w:left="454"/>
      </w:pPr>
      <w:r>
        <w:rPr>
          <w:sz w:val="21"/>
        </w:rPr>
        <w:t>12. Safety Stock Optimisation &amp; Working Capital Analysis</w:t>
      </w:r>
    </w:p>
    <w:p>
      <w:pPr>
        <w:pStyle w:val="ListBullet"/>
        <w:spacing w:after="60"/>
        <w:ind w:left="454"/>
      </w:pPr>
      <w:r>
        <w:rPr>
          <w:sz w:val="21"/>
        </w:rPr>
        <w:t>13. Supplier Risk Scoring Model</w:t>
      </w:r>
    </w:p>
    <w:p>
      <w:pPr>
        <w:pStyle w:val="ListBullet"/>
        <w:spacing w:after="60"/>
        <w:ind w:left="454"/>
      </w:pPr>
      <w:r>
        <w:rPr>
          <w:sz w:val="21"/>
        </w:rPr>
        <w:t>14. AI Agent Architecture &amp; Tool-Calling Loop</w:t>
      </w:r>
    </w:p>
    <w:p>
      <w:pPr>
        <w:pStyle w:val="ListBullet"/>
        <w:spacing w:after="60"/>
        <w:ind w:left="454"/>
      </w:pPr>
      <w:r>
        <w:rPr>
          <w:sz w:val="21"/>
        </w:rPr>
        <w:t>15. Key Performance Indicators (KPI) Targets</w:t>
      </w:r>
    </w:p>
    <w:p>
      <w:pPr>
        <w:pStyle w:val="ListBullet"/>
        <w:spacing w:after="60"/>
        <w:ind w:left="454"/>
      </w:pPr>
      <w:r>
        <w:rPr>
          <w:sz w:val="21"/>
        </w:rPr>
        <w:t>16. End-to-End System Flow (step-by-step)</w:t>
      </w:r>
    </w:p>
    <w:p>
      <w:pPr>
        <w:spacing w:before="440" w:after="100"/>
        <w:pBdr>
          <w:bottom w:val="single" w:sz="6" w:space="4" w:color="00B4D8"/>
        </w:pBdr>
      </w:pPr>
      <w:r>
        <w:rPr>
          <w:b/>
          <w:color w:val="00B4D8"/>
          <w:sz w:val="34"/>
        </w:rPr>
        <w:t>1.  System Overview &amp; Architecture</w:t>
      </w:r>
    </w:p>
    <w:p>
      <w:pPr>
        <w:spacing w:after="100"/>
      </w:pPr>
      <w:r>
        <w:rPr>
          <w:sz w:val="21"/>
        </w:rPr>
        <w:t>The Procurement Command Center is a Python-based analytics platform that consolidates multi-source ERP data, applies statistical procurement models, and exposes results through an interactive browser dashboard augmented by a large-language-model (LLM) AI assistant. The system is designed for Bryair Asia's four manufacturing plants (419 AT, 419 PD, 21C, P9) and runs entirely on-premise — no cloud data egress is required.</w:t>
      </w:r>
    </w:p>
    <w:p>
      <w:pPr>
        <w:spacing w:before="280" w:after="60"/>
      </w:pPr>
      <w:r>
        <w:rPr>
          <w:b/>
          <w:color w:val="F59E0B"/>
          <w:sz w:val="26"/>
        </w:rPr>
        <w:t>1.1  Technology Stack</w:t>
      </w:r>
    </w:p>
    <w:tbl>
      <w:tblPr>
        <w:tblStyle w:val="TableGrid"/>
        <w:tblW w:type="auto" w:w="0"/>
        <w:tblLook w:firstColumn="1" w:firstRow="1" w:lastColumn="0" w:lastRow="0" w:noHBand="0" w:noVBand="1" w:val="04A0"/>
      </w:tblPr>
      <w:tblGrid>
        <w:gridCol w:w="3022"/>
        <w:gridCol w:w="3022"/>
        <w:gridCol w:w="3022"/>
      </w:tblGrid>
      <w:tr>
        <w:tc>
          <w:tcPr>
            <w:tcW w:type="dxa" w:w="2304"/>
            <w:shd w:val="clear" w:color="auto" w:fill="0E1623"/>
          </w:tcPr>
          <w:p>
            <w:r>
              <w:rPr>
                <w:b/>
                <w:color w:val="FFFFFF"/>
                <w:sz w:val="19"/>
              </w:rPr>
              <w:t>Layer</w:t>
            </w:r>
          </w:p>
        </w:tc>
        <w:tc>
          <w:tcPr>
            <w:tcW w:type="dxa" w:w="3168"/>
            <w:shd w:val="clear" w:color="auto" w:fill="0E1623"/>
          </w:tcPr>
          <w:p>
            <w:r>
              <w:rPr>
                <w:b/>
                <w:color w:val="FFFFFF"/>
                <w:sz w:val="19"/>
              </w:rPr>
              <w:t>Technology</w:t>
            </w:r>
          </w:p>
        </w:tc>
        <w:tc>
          <w:tcPr>
            <w:tcW w:type="dxa" w:w="5184"/>
            <w:shd w:val="clear" w:color="auto" w:fill="0E1623"/>
          </w:tcPr>
          <w:p>
            <w:r>
              <w:rPr>
                <w:b/>
                <w:color w:val="FFFFFF"/>
                <w:sz w:val="19"/>
              </w:rPr>
              <w:t>Purpose</w:t>
            </w:r>
          </w:p>
        </w:tc>
      </w:tr>
      <w:tr>
        <w:tc>
          <w:tcPr>
            <w:tcW w:type="dxa" w:w="2304"/>
          </w:tcPr>
          <w:p>
            <w:r>
              <w:rPr>
                <w:sz w:val="19"/>
              </w:rPr>
              <w:t>Data Ingestion</w:t>
            </w:r>
          </w:p>
        </w:tc>
        <w:tc>
          <w:tcPr>
            <w:tcW w:type="dxa" w:w="3168"/>
          </w:tcPr>
          <w:p>
            <w:r>
              <w:rPr>
                <w:sz w:val="19"/>
              </w:rPr>
              <w:t>Python / pandas / openpyxl</w:t>
            </w:r>
          </w:p>
        </w:tc>
        <w:tc>
          <w:tcPr>
            <w:tcW w:type="dxa" w:w="5184"/>
          </w:tcPr>
          <w:p>
            <w:r>
              <w:rPr>
                <w:sz w:val="19"/>
              </w:rPr>
              <w:t>Parse Excel ERP exports into a structured SQLite database</w:t>
            </w:r>
          </w:p>
        </w:tc>
      </w:tr>
      <w:tr>
        <w:tc>
          <w:tcPr>
            <w:tcW w:type="dxa" w:w="2304"/>
          </w:tcPr>
          <w:p>
            <w:r>
              <w:rPr>
                <w:sz w:val="19"/>
              </w:rPr>
              <w:t>Analytics Engine</w:t>
            </w:r>
          </w:p>
        </w:tc>
        <w:tc>
          <w:tcPr>
            <w:tcW w:type="dxa" w:w="3168"/>
          </w:tcPr>
          <w:p>
            <w:r>
              <w:rPr>
                <w:sz w:val="19"/>
              </w:rPr>
              <w:t>Python / NumPy / SciPy</w:t>
            </w:r>
          </w:p>
        </w:tc>
        <w:tc>
          <w:tcPr>
            <w:tcW w:type="dxa" w:w="5184"/>
          </w:tcPr>
          <w:p>
            <w:r>
              <w:rPr>
                <w:sz w:val="19"/>
              </w:rPr>
              <w:t>ABC/XYZ, TBO, ROP, safety stock, forecasting, supplier risk</w:t>
            </w:r>
          </w:p>
        </w:tc>
      </w:tr>
      <w:tr>
        <w:tc>
          <w:tcPr>
            <w:tcW w:type="dxa" w:w="2304"/>
          </w:tcPr>
          <w:p>
            <w:r>
              <w:rPr>
                <w:sz w:val="19"/>
              </w:rPr>
              <w:t>Database</w:t>
            </w:r>
          </w:p>
        </w:tc>
        <w:tc>
          <w:tcPr>
            <w:tcW w:type="dxa" w:w="3168"/>
          </w:tcPr>
          <w:p>
            <w:r>
              <w:rPr>
                <w:sz w:val="19"/>
              </w:rPr>
              <w:t>SQLite 3</w:t>
            </w:r>
          </w:p>
        </w:tc>
        <w:tc>
          <w:tcPr>
            <w:tcW w:type="dxa" w:w="5184"/>
          </w:tcPr>
          <w:p>
            <w:r>
              <w:rPr>
                <w:sz w:val="19"/>
              </w:rPr>
              <w:t>Lightweight, zero-config relational store; 6 tables + 2 views</w:t>
            </w:r>
          </w:p>
        </w:tc>
      </w:tr>
      <w:tr>
        <w:tc>
          <w:tcPr>
            <w:tcW w:type="dxa" w:w="2304"/>
          </w:tcPr>
          <w:p>
            <w:r>
              <w:rPr>
                <w:sz w:val="19"/>
              </w:rPr>
              <w:t>Dashboard</w:t>
            </w:r>
          </w:p>
        </w:tc>
        <w:tc>
          <w:tcPr>
            <w:tcW w:type="dxa" w:w="3168"/>
          </w:tcPr>
          <w:p>
            <w:r>
              <w:rPr>
                <w:sz w:val="19"/>
              </w:rPr>
              <w:t>Streamlit + Plotly</w:t>
            </w:r>
          </w:p>
        </w:tc>
        <w:tc>
          <w:tcPr>
            <w:tcW w:type="dxa" w:w="5184"/>
          </w:tcPr>
          <w:p>
            <w:r>
              <w:rPr>
                <w:sz w:val="19"/>
              </w:rPr>
              <w:t>Interactive browser UI; no installation required for end users</w:t>
            </w:r>
          </w:p>
        </w:tc>
      </w:tr>
      <w:tr>
        <w:tc>
          <w:tcPr>
            <w:tcW w:type="dxa" w:w="2304"/>
          </w:tcPr>
          <w:p>
            <w:r>
              <w:rPr>
                <w:sz w:val="19"/>
              </w:rPr>
              <w:t>AI Assistant</w:t>
            </w:r>
          </w:p>
        </w:tc>
        <w:tc>
          <w:tcPr>
            <w:tcW w:type="dxa" w:w="3168"/>
          </w:tcPr>
          <w:p>
            <w:r>
              <w:rPr>
                <w:sz w:val="19"/>
              </w:rPr>
              <w:t>Anthropic Claude Sonnet 4 (API)</w:t>
            </w:r>
          </w:p>
        </w:tc>
        <w:tc>
          <w:tcPr>
            <w:tcW w:type="dxa" w:w="5184"/>
          </w:tcPr>
          <w:p>
            <w:r>
              <w:rPr>
                <w:sz w:val="19"/>
              </w:rPr>
              <w:t>Tool-calling LLM agent; reads live DB, drafts PRs</w:t>
            </w:r>
          </w:p>
        </w:tc>
      </w:tr>
      <w:tr>
        <w:tc>
          <w:tcPr>
            <w:tcW w:type="dxa" w:w="2304"/>
          </w:tcPr>
          <w:p>
            <w:r>
              <w:rPr>
                <w:sz w:val="19"/>
              </w:rPr>
              <w:t>Environment</w:t>
            </w:r>
          </w:p>
        </w:tc>
        <w:tc>
          <w:tcPr>
            <w:tcW w:type="dxa" w:w="3168"/>
          </w:tcPr>
          <w:p>
            <w:r>
              <w:rPr>
                <w:sz w:val="19"/>
              </w:rPr>
              <w:t>Python 3.10+ / .venv</w:t>
            </w:r>
          </w:p>
        </w:tc>
        <w:tc>
          <w:tcPr>
            <w:tcW w:type="dxa" w:w="5184"/>
          </w:tcPr>
          <w:p>
            <w:r>
              <w:rPr>
                <w:sz w:val="19"/>
              </w:rPr>
              <w:t>Isolated dependency management</w:t>
            </w:r>
          </w:p>
        </w:tc>
      </w:tr>
    </w:tbl>
    <w:p/>
    <w:p>
      <w:pPr>
        <w:spacing w:before="280" w:after="60"/>
      </w:pPr>
      <w:r>
        <w:rPr>
          <w:b/>
          <w:color w:val="F59E0B"/>
          <w:sz w:val="26"/>
        </w:rPr>
        <w:t>1.2  Layered Architecture</w:t>
      </w:r>
    </w:p>
    <w:p>
      <w:pPr>
        <w:spacing w:after="100"/>
      </w:pPr>
      <w:r>
        <w:rPr>
          <w:sz w:val="21"/>
        </w:rPr>
        <w:t>The system is divided into three distinct layers that process data sequentially and expose outputs to each other in one direction only (no back-writes from the dashboard to the database).</w:t>
      </w:r>
    </w:p>
    <w:p>
      <w:pPr>
        <w:spacing w:after="60"/>
        <w:ind w:left="454"/>
      </w:pPr>
      <w:r>
        <w:rPr>
          <w:b/>
          <w:color w:val="00B4D8"/>
          <w:sz w:val="21"/>
        </w:rPr>
        <w:t xml:space="preserve">Layer 1 — Data Layer:  </w:t>
      </w:r>
      <w:r>
        <w:rPr>
          <w:sz w:val="21"/>
        </w:rPr>
        <w:t>Raw Excel files from ERP/MRP are parsed by prepare_data_final.py, merged, and stored in procurement_final.db. Runs on demand (or on schedule). Rebuilding the database from scratch takes under 60 seconds.</w:t>
      </w:r>
    </w:p>
    <w:p>
      <w:pPr>
        <w:spacing w:after="60"/>
        <w:ind w:left="454"/>
      </w:pPr>
      <w:r>
        <w:rPr>
          <w:b/>
          <w:color w:val="00B4D8"/>
          <w:sz w:val="21"/>
        </w:rPr>
        <w:t xml:space="preserve">Layer 2 — Analytics Layer:  </w:t>
      </w:r>
      <w:r>
        <w:rPr>
          <w:sz w:val="21"/>
        </w:rPr>
        <w:t>forecasting.py and supplier_analytics.py are called from within the data preparation step. They add derived columns (forecast, optimal safety stock, risk scores) directly to the database tables.</w:t>
      </w:r>
    </w:p>
    <w:p>
      <w:pPr>
        <w:spacing w:after="60"/>
        <w:ind w:left="454"/>
      </w:pPr>
      <w:r>
        <w:rPr>
          <w:b/>
          <w:color w:val="00B4D8"/>
          <w:sz w:val="21"/>
        </w:rPr>
        <w:t xml:space="preserve">Layer 3 — Presentation Layer:  </w:t>
      </w:r>
      <w:r>
        <w:rPr>
          <w:sz w:val="21"/>
        </w:rPr>
        <w:t>app.py (Streamlit) reads the database at request time. Every metric shown in the dashboard is a direct SQL query — no in-memory aggregation is cached across user sessions. agent_expert.py provides the AI assistant with 4 registered tools that also query the same database read-only.</w:t>
      </w:r>
    </w:p>
    <w:p>
      <w:pPr>
        <w:spacing w:before="440" w:after="100"/>
        <w:pBdr>
          <w:bottom w:val="single" w:sz="6" w:space="4" w:color="00B4D8"/>
        </w:pBdr>
      </w:pPr>
      <w:r>
        <w:rPr>
          <w:b/>
          <w:color w:val="00B4D8"/>
          <w:sz w:val="34"/>
        </w:rPr>
        <w:t>2.  Data Sources &amp; Ingestion Pipeline</w:t>
      </w:r>
    </w:p>
    <w:p>
      <w:pPr>
        <w:spacing w:after="100"/>
      </w:pPr>
      <w:r>
        <w:rPr>
          <w:sz w:val="21"/>
        </w:rPr>
        <w:t>Five Excel files sourced from the ERP/MRP system are the sole inputs. The prepare_data_final.py script processes them in strict sequence (Steps 1–5), with each step being optional — the database is built from whatever files are present.</w:t>
      </w:r>
    </w:p>
    <w:tbl>
      <w:tblPr>
        <w:tblStyle w:val="TableGrid"/>
        <w:tblW w:type="auto" w:w="0"/>
        <w:tblLook w:firstColumn="1" w:firstRow="1" w:lastColumn="0" w:lastRow="0" w:noHBand="0" w:noVBand="1" w:val="04A0"/>
      </w:tblPr>
      <w:tblGrid>
        <w:gridCol w:w="2266"/>
        <w:gridCol w:w="2266"/>
        <w:gridCol w:w="2266"/>
        <w:gridCol w:w="2266"/>
      </w:tblGrid>
      <w:tr>
        <w:tc>
          <w:tcPr>
            <w:tcW w:type="dxa" w:w="720"/>
            <w:shd w:val="clear" w:color="auto" w:fill="0E1623"/>
          </w:tcPr>
          <w:p>
            <w:r>
              <w:rPr>
                <w:b/>
                <w:color w:val="FFFFFF"/>
                <w:sz w:val="19"/>
              </w:rPr>
              <w:t>Step</w:t>
            </w:r>
          </w:p>
        </w:tc>
        <w:tc>
          <w:tcPr>
            <w:tcW w:type="dxa" w:w="3744"/>
            <w:shd w:val="clear" w:color="auto" w:fill="0E1623"/>
          </w:tcPr>
          <w:p>
            <w:r>
              <w:rPr>
                <w:b/>
                <w:color w:val="FFFFFF"/>
                <w:sz w:val="19"/>
              </w:rPr>
              <w:t>Source File</w:t>
            </w:r>
          </w:p>
        </w:tc>
        <w:tc>
          <w:tcPr>
            <w:tcW w:type="dxa" w:w="4464"/>
            <w:shd w:val="clear" w:color="auto" w:fill="0E1623"/>
          </w:tcPr>
          <w:p>
            <w:r>
              <w:rPr>
                <w:b/>
                <w:color w:val="FFFFFF"/>
                <w:sz w:val="19"/>
              </w:rPr>
              <w:t>Content</w:t>
            </w:r>
          </w:p>
        </w:tc>
        <w:tc>
          <w:tcPr>
            <w:tcW w:type="dxa" w:w="2880"/>
            <w:shd w:val="clear" w:color="auto" w:fill="0E1623"/>
          </w:tcPr>
          <w:p>
            <w:r>
              <w:rPr>
                <w:b/>
                <w:color w:val="FFFFFF"/>
                <w:sz w:val="19"/>
              </w:rPr>
              <w:t>Target Table(s)</w:t>
            </w:r>
          </w:p>
        </w:tc>
      </w:tr>
      <w:tr>
        <w:tc>
          <w:tcPr>
            <w:tcW w:type="dxa" w:w="720"/>
          </w:tcPr>
          <w:p>
            <w:r>
              <w:rPr>
                <w:sz w:val="19"/>
              </w:rPr>
              <w:t>1</w:t>
            </w:r>
          </w:p>
        </w:tc>
        <w:tc>
          <w:tcPr>
            <w:tcW w:type="dxa" w:w="3744"/>
          </w:tcPr>
          <w:p>
            <w:r>
              <w:rPr>
                <w:sz w:val="19"/>
              </w:rPr>
              <w:t>STOCK STATUS DT 31.03.2026.xlsx</w:t>
            </w:r>
          </w:p>
        </w:tc>
        <w:tc>
          <w:tcPr>
            <w:tcW w:type="dxa" w:w="4464"/>
          </w:tcPr>
          <w:p>
            <w:r>
              <w:rPr>
                <w:sz w:val="19"/>
              </w:rPr>
              <w:t>Multi-plant stock snapshot: qty, MUAC rate, stock value across 419 AT, 419 PD, 21C, P9</w:t>
            </w:r>
          </w:p>
        </w:tc>
        <w:tc>
          <w:tcPr>
            <w:tcW w:type="dxa" w:w="2880"/>
          </w:tcPr>
          <w:p>
            <w:r>
              <w:rPr>
                <w:sz w:val="19"/>
              </w:rPr>
              <w:t>stock_master, stock_by_location</w:t>
            </w:r>
          </w:p>
        </w:tc>
      </w:tr>
      <w:tr>
        <w:tc>
          <w:tcPr>
            <w:tcW w:type="dxa" w:w="720"/>
          </w:tcPr>
          <w:p>
            <w:r>
              <w:rPr>
                <w:sz w:val="19"/>
              </w:rPr>
              <w:t>2</w:t>
            </w:r>
          </w:p>
        </w:tc>
        <w:tc>
          <w:tcPr>
            <w:tcW w:type="dxa" w:w="3744"/>
          </w:tcPr>
          <w:p>
            <w:r>
              <w:rPr>
                <w:sz w:val="19"/>
              </w:rPr>
              <w:t>Lead Time _21c 3yr MRP items consumption.xlsx</w:t>
            </w:r>
          </w:p>
        </w:tc>
        <w:tc>
          <w:tcPr>
            <w:tcW w:type="dxa" w:w="4464"/>
          </w:tcPr>
          <w:p>
            <w:r>
              <w:rPr>
                <w:sz w:val="19"/>
              </w:rPr>
              <w:t>3-year annual consumption (FY 22-23, 23-24, 24-25) + lead times for 21C MRP items</w:t>
            </w:r>
          </w:p>
        </w:tc>
        <w:tc>
          <w:tcPr>
            <w:tcW w:type="dxa" w:w="2880"/>
          </w:tcPr>
          <w:p>
            <w:r>
              <w:rPr>
                <w:sz w:val="19"/>
              </w:rPr>
              <w:t>Merged into stock_master</w:t>
            </w:r>
          </w:p>
        </w:tc>
      </w:tr>
      <w:tr>
        <w:tc>
          <w:tcPr>
            <w:tcW w:type="dxa" w:w="720"/>
          </w:tcPr>
          <w:p>
            <w:r>
              <w:rPr>
                <w:sz w:val="19"/>
              </w:rPr>
              <w:t>3</w:t>
            </w:r>
          </w:p>
        </w:tc>
        <w:tc>
          <w:tcPr>
            <w:tcW w:type="dxa" w:w="3744"/>
          </w:tcPr>
          <w:p>
            <w:r>
              <w:rPr>
                <w:sz w:val="19"/>
              </w:rPr>
              <w:t>P9 COMBINED PLANNING SHEET (14-Apr-2026).xlsx</w:t>
            </w:r>
          </w:p>
        </w:tc>
        <w:tc>
          <w:tcPr>
            <w:tcW w:type="dxa" w:w="4464"/>
          </w:tcPr>
          <w:p>
            <w:r>
              <w:rPr>
                <w:sz w:val="19"/>
              </w:rPr>
              <w:t>P9 planning: current stock, allocations, pending orders, TBO, safety stock, suppliers</w:t>
            </w:r>
          </w:p>
        </w:tc>
        <w:tc>
          <w:tcPr>
            <w:tcW w:type="dxa" w:w="2880"/>
          </w:tcPr>
          <w:p>
            <w:r>
              <w:rPr>
                <w:sz w:val="19"/>
              </w:rPr>
              <w:t>planning_master (warehouse='P9'), pending_orders, tbo_orders</w:t>
            </w:r>
          </w:p>
        </w:tc>
      </w:tr>
      <w:tr>
        <w:tc>
          <w:tcPr>
            <w:tcW w:type="dxa" w:w="720"/>
          </w:tcPr>
          <w:p>
            <w:r>
              <w:rPr>
                <w:sz w:val="19"/>
              </w:rPr>
              <w:t>4</w:t>
            </w:r>
          </w:p>
        </w:tc>
        <w:tc>
          <w:tcPr>
            <w:tcW w:type="dxa" w:w="3744"/>
          </w:tcPr>
          <w:p>
            <w:r>
              <w:rPr>
                <w:sz w:val="19"/>
              </w:rPr>
              <w:t>SAFETY STOCK 21C UPDATED WORKING.xlsx</w:t>
            </w:r>
          </w:p>
        </w:tc>
        <w:tc>
          <w:tcPr>
            <w:tcW w:type="dxa" w:w="4464"/>
          </w:tcPr>
          <w:p>
            <w:r>
              <w:rPr>
                <w:sz w:val="19"/>
              </w:rPr>
              <w:t>21C planning: same schema as P9 plus annual consumption per material</w:t>
            </w:r>
          </w:p>
        </w:tc>
        <w:tc>
          <w:tcPr>
            <w:tcW w:type="dxa" w:w="2880"/>
          </w:tcPr>
          <w:p>
            <w:r>
              <w:rPr>
                <w:sz w:val="19"/>
              </w:rPr>
              <w:t>planning_master (warehouse='21C'), pending_orders, tbo_orders</w:t>
            </w:r>
          </w:p>
        </w:tc>
      </w:tr>
      <w:tr>
        <w:tc>
          <w:tcPr>
            <w:tcW w:type="dxa" w:w="720"/>
          </w:tcPr>
          <w:p>
            <w:r>
              <w:rPr>
                <w:sz w:val="19"/>
              </w:rPr>
              <w:t>5</w:t>
            </w:r>
          </w:p>
        </w:tc>
        <w:tc>
          <w:tcPr>
            <w:tcW w:type="dxa" w:w="3744"/>
          </w:tcPr>
          <w:p>
            <w:r>
              <w:rPr>
                <w:sz w:val="19"/>
              </w:rPr>
              <w:t>Derived</w:t>
            </w:r>
          </w:p>
        </w:tc>
        <w:tc>
          <w:tcPr>
            <w:tcW w:type="dxa" w:w="4464"/>
          </w:tcPr>
          <w:p>
            <w:r>
              <w:rPr>
                <w:sz w:val="19"/>
              </w:rPr>
              <w:t>Supplier aggregations and risk scoring computed from planning_master</w:t>
            </w:r>
          </w:p>
        </w:tc>
        <w:tc>
          <w:tcPr>
            <w:tcW w:type="dxa" w:w="2880"/>
          </w:tcPr>
          <w:p>
            <w:r>
              <w:rPr>
                <w:sz w:val="19"/>
              </w:rPr>
              <w:t>supplier_master, supplier_risk</w:t>
            </w:r>
          </w:p>
        </w:tc>
      </w:tr>
    </w:tbl>
    <w:p/>
    <w:p>
      <w:pPr>
        <w:spacing w:before="280" w:after="60"/>
      </w:pPr>
      <w:r>
        <w:rPr>
          <w:b/>
          <w:color w:val="F59E0B"/>
          <w:sz w:val="26"/>
        </w:rPr>
        <w:t>2.1  Multi-Level Header Parsing (Stock Status)</w:t>
      </w:r>
    </w:p>
    <w:p>
      <w:pPr>
        <w:spacing w:after="100"/>
      </w:pPr>
      <w:r>
        <w:rPr>
          <w:sz w:val="21"/>
        </w:rPr>
        <w:t>The stock status Excel file uses a two-row merged header structure. Row 0 contains the plant name (419 AT, 419 PD, 21C, P9); Row 1 contains the column type (Qty, Mauc Rate, Amount). The ingestion code reconstructs unambiguous column names by concatenating plant + column type (e.g., '419 AT_Qty', 'P9_Amount'). Materials without any stock across all four plants are still retained to preserve the material master.</w:t>
      </w:r>
    </w:p>
    <w:p>
      <w:pPr>
        <w:spacing w:before="280" w:after="60"/>
      </w:pPr>
      <w:r>
        <w:rPr>
          <w:b/>
          <w:color w:val="F59E0B"/>
          <w:sz w:val="26"/>
        </w:rPr>
        <w:t>2.2  Data Quality Rules Applied at Ingestion</w:t>
      </w:r>
    </w:p>
    <w:p>
      <w:pPr>
        <w:pStyle w:val="ListBullet"/>
        <w:spacing w:after="60"/>
        <w:ind w:left="454"/>
      </w:pPr>
      <w:r>
        <w:rPr>
          <w:sz w:val="21"/>
        </w:rPr>
        <w:t>All numeric columns are coerced to float; non-parseable values become 0 or NaN.</w:t>
      </w:r>
    </w:p>
    <w:p>
      <w:pPr>
        <w:pStyle w:val="ListBullet"/>
        <w:spacing w:after="60"/>
        <w:ind w:left="454"/>
      </w:pPr>
      <w:r>
        <w:rPr>
          <w:sz w:val="21"/>
        </w:rPr>
        <w:t>Negative stock quantities and prices are preserved (may indicate return transactions).</w:t>
      </w:r>
    </w:p>
    <w:p>
      <w:pPr>
        <w:pStyle w:val="ListBullet"/>
        <w:spacing w:after="60"/>
        <w:ind w:left="454"/>
      </w:pPr>
      <w:r>
        <w:rPr>
          <w:sz w:val="21"/>
        </w:rPr>
        <w:t>Supplier names are taken verbatim from the planning sheets — no normalisation is applied at this stage. The AI agent uses exact string matching.</w:t>
      </w:r>
    </w:p>
    <w:p>
      <w:pPr>
        <w:pStyle w:val="ListBullet"/>
        <w:spacing w:after="60"/>
        <w:ind w:left="454"/>
      </w:pPr>
      <w:r>
        <w:rPr>
          <w:sz w:val="21"/>
        </w:rPr>
        <w:t>MUAC Rate (Moving Average Unit Cost) is recalculated as total_stock_value / total_stock_qty where qty &gt; 0, providing a cross-plant weighted average cost.</w:t>
      </w:r>
    </w:p>
    <w:p>
      <w:pPr>
        <w:pStyle w:val="ListBullet"/>
        <w:spacing w:after="60"/>
        <w:ind w:left="454"/>
      </w:pPr>
      <w:r>
        <w:rPr>
          <w:sz w:val="21"/>
        </w:rPr>
        <w:t>Missing lead times in 21C planning are carried as NULL; the enhanced TBO formula degrades gracefully to safety-stock-only mode when lead time is absent.</w:t>
      </w:r>
    </w:p>
    <w:p>
      <w:pPr>
        <w:spacing w:before="440" w:after="100"/>
        <w:pBdr>
          <w:bottom w:val="single" w:sz="6" w:space="4" w:color="00B4D8"/>
        </w:pBdr>
      </w:pPr>
      <w:r>
        <w:rPr>
          <w:b/>
          <w:color w:val="00B4D8"/>
          <w:sz w:val="34"/>
        </w:rPr>
        <w:t>3.  Database Schema</w:t>
      </w:r>
    </w:p>
    <w:p>
      <w:pPr>
        <w:spacing w:after="100"/>
      </w:pPr>
      <w:r>
        <w:rPr>
          <w:sz w:val="21"/>
        </w:rPr>
        <w:t>The database is a single SQLite file (procurement_final.db). All tables are rebuilt from scratch on every run of prepare_data_final.py. There are no foreign key constraints (for ingestion speed), but logical relationships are enforced in the application layer.</w:t>
      </w:r>
    </w:p>
    <w:p>
      <w:pPr>
        <w:spacing w:before="280" w:after="60"/>
      </w:pPr>
      <w:r>
        <w:rPr>
          <w:b/>
          <w:color w:val="F59E0B"/>
          <w:sz w:val="26"/>
        </w:rPr>
        <w:t>3.1  stock_master</w:t>
      </w:r>
    </w:p>
    <w:p>
      <w:pPr>
        <w:spacing w:after="100"/>
      </w:pPr>
      <w:r>
        <w:rPr>
          <w:sz w:val="21"/>
        </w:rPr>
        <w:t>One row per material code. Source: stock status file merged with 3-year consumption history.</w:t>
      </w:r>
    </w:p>
    <w:tbl>
      <w:tblPr>
        <w:tblStyle w:val="TableGrid"/>
        <w:tblW w:type="auto" w:w="0"/>
        <w:tblLook w:firstColumn="1" w:firstRow="1" w:lastColumn="0" w:lastRow="0" w:noHBand="0" w:noVBand="1" w:val="04A0"/>
      </w:tblPr>
      <w:tblGrid>
        <w:gridCol w:w="3022"/>
        <w:gridCol w:w="3022"/>
        <w:gridCol w:w="3022"/>
      </w:tblGrid>
      <w:tr>
        <w:tc>
          <w:tcPr>
            <w:tcW w:type="dxa" w:w="3024"/>
            <w:shd w:val="clear" w:color="auto" w:fill="0E1623"/>
          </w:tcPr>
          <w:p>
            <w:r>
              <w:rPr>
                <w:b/>
                <w:color w:val="FFFFFF"/>
                <w:sz w:val="19"/>
              </w:rPr>
              <w:t>Column</w:t>
            </w:r>
          </w:p>
        </w:tc>
        <w:tc>
          <w:tcPr>
            <w:tcW w:type="dxa" w:w="1008"/>
            <w:shd w:val="clear" w:color="auto" w:fill="0E1623"/>
          </w:tcPr>
          <w:p>
            <w:r>
              <w:rPr>
                <w:b/>
                <w:color w:val="FFFFFF"/>
                <w:sz w:val="19"/>
              </w:rPr>
              <w:t>Type</w:t>
            </w:r>
          </w:p>
        </w:tc>
        <w:tc>
          <w:tcPr>
            <w:tcW w:type="dxa" w:w="6336"/>
            <w:shd w:val="clear" w:color="auto" w:fill="0E1623"/>
          </w:tcPr>
          <w:p>
            <w:r>
              <w:rPr>
                <w:b/>
                <w:color w:val="FFFFFF"/>
                <w:sz w:val="19"/>
              </w:rPr>
              <w:t>Description</w:t>
            </w:r>
          </w:p>
        </w:tc>
      </w:tr>
      <w:tr>
        <w:tc>
          <w:tcPr>
            <w:tcW w:type="dxa" w:w="3024"/>
          </w:tcPr>
          <w:p>
            <w:r>
              <w:rPr>
                <w:sz w:val="19"/>
              </w:rPr>
              <w:t>material_code</w:t>
            </w:r>
          </w:p>
        </w:tc>
        <w:tc>
          <w:tcPr>
            <w:tcW w:type="dxa" w:w="1008"/>
          </w:tcPr>
          <w:p>
            <w:r>
              <w:rPr>
                <w:sz w:val="19"/>
              </w:rPr>
              <w:t>TEXT</w:t>
            </w:r>
          </w:p>
        </w:tc>
        <w:tc>
          <w:tcPr>
            <w:tcW w:type="dxa" w:w="6336"/>
          </w:tcPr>
          <w:p>
            <w:r>
              <w:rPr>
                <w:sz w:val="19"/>
              </w:rPr>
              <w:t>Primary identifier (part number from ERP)</w:t>
            </w:r>
          </w:p>
        </w:tc>
      </w:tr>
      <w:tr>
        <w:tc>
          <w:tcPr>
            <w:tcW w:type="dxa" w:w="3024"/>
          </w:tcPr>
          <w:p>
            <w:r>
              <w:rPr>
                <w:sz w:val="19"/>
              </w:rPr>
              <w:t>description</w:t>
            </w:r>
          </w:p>
        </w:tc>
        <w:tc>
          <w:tcPr>
            <w:tcW w:type="dxa" w:w="1008"/>
          </w:tcPr>
          <w:p>
            <w:r>
              <w:rPr>
                <w:sz w:val="19"/>
              </w:rPr>
              <w:t>TEXT</w:t>
            </w:r>
          </w:p>
        </w:tc>
        <w:tc>
          <w:tcPr>
            <w:tcW w:type="dxa" w:w="6336"/>
          </w:tcPr>
          <w:p>
            <w:r>
              <w:rPr>
                <w:sz w:val="19"/>
              </w:rPr>
              <w:t>Material description</w:t>
            </w:r>
          </w:p>
        </w:tc>
      </w:tr>
      <w:tr>
        <w:tc>
          <w:tcPr>
            <w:tcW w:type="dxa" w:w="3024"/>
          </w:tcPr>
          <w:p>
            <w:r>
              <w:rPr>
                <w:sz w:val="19"/>
              </w:rPr>
              <w:t>uom</w:t>
            </w:r>
          </w:p>
        </w:tc>
        <w:tc>
          <w:tcPr>
            <w:tcW w:type="dxa" w:w="1008"/>
          </w:tcPr>
          <w:p>
            <w:r>
              <w:rPr>
                <w:sz w:val="19"/>
              </w:rPr>
              <w:t>TEXT</w:t>
            </w:r>
          </w:p>
        </w:tc>
        <w:tc>
          <w:tcPr>
            <w:tcW w:type="dxa" w:w="6336"/>
          </w:tcPr>
          <w:p>
            <w:r>
              <w:rPr>
                <w:sz w:val="19"/>
              </w:rPr>
              <w:t>Unit of measurement</w:t>
            </w:r>
          </w:p>
        </w:tc>
      </w:tr>
      <w:tr>
        <w:tc>
          <w:tcPr>
            <w:tcW w:type="dxa" w:w="3024"/>
          </w:tcPr>
          <w:p>
            <w:r>
              <w:rPr>
                <w:sz w:val="19"/>
              </w:rPr>
              <w:t>stock_{plant}</w:t>
            </w:r>
          </w:p>
        </w:tc>
        <w:tc>
          <w:tcPr>
            <w:tcW w:type="dxa" w:w="1008"/>
          </w:tcPr>
          <w:p>
            <w:r>
              <w:rPr>
                <w:sz w:val="19"/>
              </w:rPr>
              <w:t>REAL</w:t>
            </w:r>
          </w:p>
        </w:tc>
        <w:tc>
          <w:tcPr>
            <w:tcW w:type="dxa" w:w="6336"/>
          </w:tcPr>
          <w:p>
            <w:r>
              <w:rPr>
                <w:sz w:val="19"/>
              </w:rPr>
              <w:t>Stock quantity at each plant (419_at, 419_pd, 21c, p9)</w:t>
            </w:r>
          </w:p>
        </w:tc>
      </w:tr>
      <w:tr>
        <w:tc>
          <w:tcPr>
            <w:tcW w:type="dxa" w:w="3024"/>
          </w:tcPr>
          <w:p>
            <w:r>
              <w:rPr>
                <w:sz w:val="19"/>
              </w:rPr>
              <w:t>muac_rate_{plant}</w:t>
            </w:r>
          </w:p>
        </w:tc>
        <w:tc>
          <w:tcPr>
            <w:tcW w:type="dxa" w:w="1008"/>
          </w:tcPr>
          <w:p>
            <w:r>
              <w:rPr>
                <w:sz w:val="19"/>
              </w:rPr>
              <w:t>REAL</w:t>
            </w:r>
          </w:p>
        </w:tc>
        <w:tc>
          <w:tcPr>
            <w:tcW w:type="dxa" w:w="6336"/>
          </w:tcPr>
          <w:p>
            <w:r>
              <w:rPr>
                <w:sz w:val="19"/>
              </w:rPr>
              <w:t>Moving Average Unit Cost at each plant</w:t>
            </w:r>
          </w:p>
        </w:tc>
      </w:tr>
      <w:tr>
        <w:tc>
          <w:tcPr>
            <w:tcW w:type="dxa" w:w="3024"/>
          </w:tcPr>
          <w:p>
            <w:r>
              <w:rPr>
                <w:sz w:val="19"/>
              </w:rPr>
              <w:t>stock_value_{plant}</w:t>
            </w:r>
          </w:p>
        </w:tc>
        <w:tc>
          <w:tcPr>
            <w:tcW w:type="dxa" w:w="1008"/>
          </w:tcPr>
          <w:p>
            <w:r>
              <w:rPr>
                <w:sz w:val="19"/>
              </w:rPr>
              <w:t>REAL</w:t>
            </w:r>
          </w:p>
        </w:tc>
        <w:tc>
          <w:tcPr>
            <w:tcW w:type="dxa" w:w="6336"/>
          </w:tcPr>
          <w:p>
            <w:r>
              <w:rPr>
                <w:sz w:val="19"/>
              </w:rPr>
              <w:t>Stock value = qty × MUAC at each plant</w:t>
            </w:r>
          </w:p>
        </w:tc>
      </w:tr>
      <w:tr>
        <w:tc>
          <w:tcPr>
            <w:tcW w:type="dxa" w:w="3024"/>
          </w:tcPr>
          <w:p>
            <w:r>
              <w:rPr>
                <w:sz w:val="19"/>
              </w:rPr>
              <w:t>total_stock_qty</w:t>
            </w:r>
          </w:p>
        </w:tc>
        <w:tc>
          <w:tcPr>
            <w:tcW w:type="dxa" w:w="1008"/>
          </w:tcPr>
          <w:p>
            <w:r>
              <w:rPr>
                <w:sz w:val="19"/>
              </w:rPr>
              <w:t>REAL</w:t>
            </w:r>
          </w:p>
        </w:tc>
        <w:tc>
          <w:tcPr>
            <w:tcW w:type="dxa" w:w="6336"/>
          </w:tcPr>
          <w:p>
            <w:r>
              <w:rPr>
                <w:sz w:val="19"/>
              </w:rPr>
              <w:t>Sum of qty across all four plants</w:t>
            </w:r>
          </w:p>
        </w:tc>
      </w:tr>
      <w:tr>
        <w:tc>
          <w:tcPr>
            <w:tcW w:type="dxa" w:w="3024"/>
          </w:tcPr>
          <w:p>
            <w:r>
              <w:rPr>
                <w:sz w:val="19"/>
              </w:rPr>
              <w:t>total_stock_value</w:t>
            </w:r>
          </w:p>
        </w:tc>
        <w:tc>
          <w:tcPr>
            <w:tcW w:type="dxa" w:w="1008"/>
          </w:tcPr>
          <w:p>
            <w:r>
              <w:rPr>
                <w:sz w:val="19"/>
              </w:rPr>
              <w:t>REAL</w:t>
            </w:r>
          </w:p>
        </w:tc>
        <w:tc>
          <w:tcPr>
            <w:tcW w:type="dxa" w:w="6336"/>
          </w:tcPr>
          <w:p>
            <w:r>
              <w:rPr>
                <w:sz w:val="19"/>
              </w:rPr>
              <w:t>Sum of value across all four plants</w:t>
            </w:r>
          </w:p>
        </w:tc>
      </w:tr>
      <w:tr>
        <w:tc>
          <w:tcPr>
            <w:tcW w:type="dxa" w:w="3024"/>
          </w:tcPr>
          <w:p>
            <w:r>
              <w:rPr>
                <w:sz w:val="19"/>
              </w:rPr>
              <w:t>avg_muac_rate</w:t>
            </w:r>
          </w:p>
        </w:tc>
        <w:tc>
          <w:tcPr>
            <w:tcW w:type="dxa" w:w="1008"/>
          </w:tcPr>
          <w:p>
            <w:r>
              <w:rPr>
                <w:sz w:val="19"/>
              </w:rPr>
              <w:t>REAL</w:t>
            </w:r>
          </w:p>
        </w:tc>
        <w:tc>
          <w:tcPr>
            <w:tcW w:type="dxa" w:w="6336"/>
          </w:tcPr>
          <w:p>
            <w:r>
              <w:rPr>
                <w:sz w:val="19"/>
              </w:rPr>
              <w:t>Weighted average MUAC = total_value / total_qty</w:t>
            </w:r>
          </w:p>
        </w:tc>
      </w:tr>
      <w:tr>
        <w:tc>
          <w:tcPr>
            <w:tcW w:type="dxa" w:w="3024"/>
          </w:tcPr>
          <w:p>
            <w:r>
              <w:rPr>
                <w:sz w:val="19"/>
              </w:rPr>
              <w:t>fy_2022_23</w:t>
            </w:r>
          </w:p>
        </w:tc>
        <w:tc>
          <w:tcPr>
            <w:tcW w:type="dxa" w:w="1008"/>
          </w:tcPr>
          <w:p>
            <w:r>
              <w:rPr>
                <w:sz w:val="19"/>
              </w:rPr>
              <w:t>REAL</w:t>
            </w:r>
          </w:p>
        </w:tc>
        <w:tc>
          <w:tcPr>
            <w:tcW w:type="dxa" w:w="6336"/>
          </w:tcPr>
          <w:p>
            <w:r>
              <w:rPr>
                <w:sz w:val="19"/>
              </w:rPr>
              <w:t>Annual consumption FY 2022-23 (21C MRP only)</w:t>
            </w:r>
          </w:p>
        </w:tc>
      </w:tr>
      <w:tr>
        <w:tc>
          <w:tcPr>
            <w:tcW w:type="dxa" w:w="3024"/>
          </w:tcPr>
          <w:p>
            <w:r>
              <w:rPr>
                <w:sz w:val="19"/>
              </w:rPr>
              <w:t>fy_2023_24</w:t>
            </w:r>
          </w:p>
        </w:tc>
        <w:tc>
          <w:tcPr>
            <w:tcW w:type="dxa" w:w="1008"/>
          </w:tcPr>
          <w:p>
            <w:r>
              <w:rPr>
                <w:sz w:val="19"/>
              </w:rPr>
              <w:t>REAL</w:t>
            </w:r>
          </w:p>
        </w:tc>
        <w:tc>
          <w:tcPr>
            <w:tcW w:type="dxa" w:w="6336"/>
          </w:tcPr>
          <w:p>
            <w:r>
              <w:rPr>
                <w:sz w:val="19"/>
              </w:rPr>
              <w:t>Annual consumption FY 2023-24</w:t>
            </w:r>
          </w:p>
        </w:tc>
      </w:tr>
      <w:tr>
        <w:tc>
          <w:tcPr>
            <w:tcW w:type="dxa" w:w="3024"/>
          </w:tcPr>
          <w:p>
            <w:r>
              <w:rPr>
                <w:sz w:val="19"/>
              </w:rPr>
              <w:t>fy_2024_25</w:t>
            </w:r>
          </w:p>
        </w:tc>
        <w:tc>
          <w:tcPr>
            <w:tcW w:type="dxa" w:w="1008"/>
          </w:tcPr>
          <w:p>
            <w:r>
              <w:rPr>
                <w:sz w:val="19"/>
              </w:rPr>
              <w:t>REAL</w:t>
            </w:r>
          </w:p>
        </w:tc>
        <w:tc>
          <w:tcPr>
            <w:tcW w:type="dxa" w:w="6336"/>
          </w:tcPr>
          <w:p>
            <w:r>
              <w:rPr>
                <w:sz w:val="19"/>
              </w:rPr>
              <w:t>Annual consumption FY 2024-25</w:t>
            </w:r>
          </w:p>
        </w:tc>
      </w:tr>
      <w:tr>
        <w:tc>
          <w:tcPr>
            <w:tcW w:type="dxa" w:w="3024"/>
          </w:tcPr>
          <w:p>
            <w:r>
              <w:rPr>
                <w:sz w:val="19"/>
              </w:rPr>
              <w:t>avg_annual_consumption</w:t>
            </w:r>
          </w:p>
        </w:tc>
        <w:tc>
          <w:tcPr>
            <w:tcW w:type="dxa" w:w="1008"/>
          </w:tcPr>
          <w:p>
            <w:r>
              <w:rPr>
                <w:sz w:val="19"/>
              </w:rPr>
              <w:t>REAL</w:t>
            </w:r>
          </w:p>
        </w:tc>
        <w:tc>
          <w:tcPr>
            <w:tcW w:type="dxa" w:w="6336"/>
          </w:tcPr>
          <w:p>
            <w:r>
              <w:rPr>
                <w:sz w:val="19"/>
              </w:rPr>
              <w:t>Simple mean of the three FY columns</w:t>
            </w:r>
          </w:p>
        </w:tc>
      </w:tr>
      <w:tr>
        <w:tc>
          <w:tcPr>
            <w:tcW w:type="dxa" w:w="3024"/>
          </w:tcPr>
          <w:p>
            <w:r>
              <w:rPr>
                <w:sz w:val="19"/>
              </w:rPr>
              <w:t>avg_daily_consumption</w:t>
            </w:r>
          </w:p>
        </w:tc>
        <w:tc>
          <w:tcPr>
            <w:tcW w:type="dxa" w:w="1008"/>
          </w:tcPr>
          <w:p>
            <w:r>
              <w:rPr>
                <w:sz w:val="19"/>
              </w:rPr>
              <w:t>REAL</w:t>
            </w:r>
          </w:p>
        </w:tc>
        <w:tc>
          <w:tcPr>
            <w:tcW w:type="dxa" w:w="6336"/>
          </w:tcPr>
          <w:p>
            <w:r>
              <w:rPr>
                <w:sz w:val="19"/>
              </w:rPr>
              <w:t>avg_annual_consumption / 365</w:t>
            </w:r>
          </w:p>
        </w:tc>
      </w:tr>
      <w:tr>
        <w:tc>
          <w:tcPr>
            <w:tcW w:type="dxa" w:w="3024"/>
          </w:tcPr>
          <w:p>
            <w:r>
              <w:rPr>
                <w:sz w:val="19"/>
              </w:rPr>
              <w:t>consumption_volatility</w:t>
            </w:r>
          </w:p>
        </w:tc>
        <w:tc>
          <w:tcPr>
            <w:tcW w:type="dxa" w:w="1008"/>
          </w:tcPr>
          <w:p>
            <w:r>
              <w:rPr>
                <w:sz w:val="19"/>
              </w:rPr>
              <w:t>REAL</w:t>
            </w:r>
          </w:p>
        </w:tc>
        <w:tc>
          <w:tcPr>
            <w:tcW w:type="dxa" w:w="6336"/>
          </w:tcPr>
          <w:p>
            <w:r>
              <w:rPr>
                <w:sz w:val="19"/>
              </w:rPr>
              <w:t>Coefficient of variation (std / mean) across 3 FYs</w:t>
            </w:r>
          </w:p>
        </w:tc>
      </w:tr>
      <w:tr>
        <w:tc>
          <w:tcPr>
            <w:tcW w:type="dxa" w:w="3024"/>
          </w:tcPr>
          <w:p>
            <w:r>
              <w:rPr>
                <w:sz w:val="19"/>
              </w:rPr>
              <w:t>lead_time_days</w:t>
            </w:r>
          </w:p>
        </w:tc>
        <w:tc>
          <w:tcPr>
            <w:tcW w:type="dxa" w:w="1008"/>
          </w:tcPr>
          <w:p>
            <w:r>
              <w:rPr>
                <w:sz w:val="19"/>
              </w:rPr>
              <w:t>REAL</w:t>
            </w:r>
          </w:p>
        </w:tc>
        <w:tc>
          <w:tcPr>
            <w:tcW w:type="dxa" w:w="6336"/>
          </w:tcPr>
          <w:p>
            <w:r>
              <w:rPr>
                <w:sz w:val="19"/>
              </w:rPr>
              <w:t>Supplier lead time in calendar days</w:t>
            </w:r>
          </w:p>
        </w:tc>
      </w:tr>
      <w:tr>
        <w:tc>
          <w:tcPr>
            <w:tcW w:type="dxa" w:w="3024"/>
          </w:tcPr>
          <w:p>
            <w:r>
              <w:rPr>
                <w:sz w:val="19"/>
              </w:rPr>
              <w:t>reorder_point</w:t>
            </w:r>
          </w:p>
        </w:tc>
        <w:tc>
          <w:tcPr>
            <w:tcW w:type="dxa" w:w="1008"/>
          </w:tcPr>
          <w:p>
            <w:r>
              <w:rPr>
                <w:sz w:val="19"/>
              </w:rPr>
              <w:t>REAL</w:t>
            </w:r>
          </w:p>
        </w:tc>
        <w:tc>
          <w:tcPr>
            <w:tcW w:type="dxa" w:w="6336"/>
          </w:tcPr>
          <w:p>
            <w:r>
              <w:rPr>
                <w:sz w:val="19"/>
              </w:rPr>
              <w:t>lead_time_days × avg_daily_consumption + safety_stock_hist</w:t>
            </w:r>
          </w:p>
        </w:tc>
      </w:tr>
      <w:tr>
        <w:tc>
          <w:tcPr>
            <w:tcW w:type="dxa" w:w="3024"/>
          </w:tcPr>
          <w:p>
            <w:r>
              <w:rPr>
                <w:sz w:val="19"/>
              </w:rPr>
              <w:t>stock_status</w:t>
            </w:r>
          </w:p>
        </w:tc>
        <w:tc>
          <w:tcPr>
            <w:tcW w:type="dxa" w:w="1008"/>
          </w:tcPr>
          <w:p>
            <w:r>
              <w:rPr>
                <w:sz w:val="19"/>
              </w:rPr>
              <w:t>TEXT</w:t>
            </w:r>
          </w:p>
        </w:tc>
        <w:tc>
          <w:tcPr>
            <w:tcW w:type="dxa" w:w="6336"/>
          </w:tcPr>
          <w:p>
            <w:r>
              <w:rPr>
                <w:sz w:val="19"/>
              </w:rPr>
              <w:t>'Below ROP', 'Near ROP', or 'Above ROP'</w:t>
            </w:r>
          </w:p>
        </w:tc>
      </w:tr>
      <w:tr>
        <w:tc>
          <w:tcPr>
            <w:tcW w:type="dxa" w:w="3024"/>
          </w:tcPr>
          <w:p>
            <w:r>
              <w:rPr>
                <w:sz w:val="19"/>
              </w:rPr>
              <w:t>days_of_inventory</w:t>
            </w:r>
          </w:p>
        </w:tc>
        <w:tc>
          <w:tcPr>
            <w:tcW w:type="dxa" w:w="1008"/>
          </w:tcPr>
          <w:p>
            <w:r>
              <w:rPr>
                <w:sz w:val="19"/>
              </w:rPr>
              <w:t>REAL</w:t>
            </w:r>
          </w:p>
        </w:tc>
        <w:tc>
          <w:tcPr>
            <w:tcW w:type="dxa" w:w="6336"/>
          </w:tcPr>
          <w:p>
            <w:r>
              <w:rPr>
                <w:sz w:val="19"/>
              </w:rPr>
              <w:t>total_stock_qty / avg_daily_consumption</w:t>
            </w:r>
          </w:p>
        </w:tc>
      </w:tr>
      <w:tr>
        <w:tc>
          <w:tcPr>
            <w:tcW w:type="dxa" w:w="3024"/>
          </w:tcPr>
          <w:p>
            <w:r>
              <w:rPr>
                <w:sz w:val="19"/>
              </w:rPr>
              <w:t>inventory_turnover_ratio</w:t>
            </w:r>
          </w:p>
        </w:tc>
        <w:tc>
          <w:tcPr>
            <w:tcW w:type="dxa" w:w="1008"/>
          </w:tcPr>
          <w:p>
            <w:r>
              <w:rPr>
                <w:sz w:val="19"/>
              </w:rPr>
              <w:t>REAL</w:t>
            </w:r>
          </w:p>
        </w:tc>
        <w:tc>
          <w:tcPr>
            <w:tcW w:type="dxa" w:w="6336"/>
          </w:tcPr>
          <w:p>
            <w:r>
              <w:rPr>
                <w:sz w:val="19"/>
              </w:rPr>
              <w:t>avg_annual_consumption / total_stock_qty</w:t>
            </w:r>
          </w:p>
        </w:tc>
      </w:tr>
      <w:tr>
        <w:tc>
          <w:tcPr>
            <w:tcW w:type="dxa" w:w="3024"/>
          </w:tcPr>
          <w:p>
            <w:r>
              <w:rPr>
                <w:sz w:val="19"/>
              </w:rPr>
              <w:t>excess_stock_qty</w:t>
            </w:r>
          </w:p>
        </w:tc>
        <w:tc>
          <w:tcPr>
            <w:tcW w:type="dxa" w:w="1008"/>
          </w:tcPr>
          <w:p>
            <w:r>
              <w:rPr>
                <w:sz w:val="19"/>
              </w:rPr>
              <w:t>REAL</w:t>
            </w:r>
          </w:p>
        </w:tc>
        <w:tc>
          <w:tcPr>
            <w:tcW w:type="dxa" w:w="6336"/>
          </w:tcPr>
          <w:p>
            <w:r>
              <w:rPr>
                <w:sz w:val="19"/>
              </w:rPr>
              <w:t>max(0, total_qty - reorder_point - safety_stock)</w:t>
            </w:r>
          </w:p>
        </w:tc>
      </w:tr>
      <w:tr>
        <w:tc>
          <w:tcPr>
            <w:tcW w:type="dxa" w:w="3024"/>
          </w:tcPr>
          <w:p>
            <w:r>
              <w:rPr>
                <w:sz w:val="19"/>
              </w:rPr>
              <w:t>excess_stock_value</w:t>
            </w:r>
          </w:p>
        </w:tc>
        <w:tc>
          <w:tcPr>
            <w:tcW w:type="dxa" w:w="1008"/>
          </w:tcPr>
          <w:p>
            <w:r>
              <w:rPr>
                <w:sz w:val="19"/>
              </w:rPr>
              <w:t>REAL</w:t>
            </w:r>
          </w:p>
        </w:tc>
        <w:tc>
          <w:tcPr>
            <w:tcW w:type="dxa" w:w="6336"/>
          </w:tcPr>
          <w:p>
            <w:r>
              <w:rPr>
                <w:sz w:val="19"/>
              </w:rPr>
              <w:t>excess_stock_qty × avg_muac_rate</w:t>
            </w:r>
          </w:p>
        </w:tc>
      </w:tr>
      <w:tr>
        <w:tc>
          <w:tcPr>
            <w:tcW w:type="dxa" w:w="3024"/>
          </w:tcPr>
          <w:p>
            <w:r>
              <w:rPr>
                <w:sz w:val="19"/>
              </w:rPr>
              <w:t>abc_class</w:t>
            </w:r>
          </w:p>
        </w:tc>
        <w:tc>
          <w:tcPr>
            <w:tcW w:type="dxa" w:w="1008"/>
          </w:tcPr>
          <w:p>
            <w:r>
              <w:rPr>
                <w:sz w:val="19"/>
              </w:rPr>
              <w:t>TEXT</w:t>
            </w:r>
          </w:p>
        </w:tc>
        <w:tc>
          <w:tcPr>
            <w:tcW w:type="dxa" w:w="6336"/>
          </w:tcPr>
          <w:p>
            <w:r>
              <w:rPr>
                <w:sz w:val="19"/>
              </w:rPr>
              <w:t>'A', 'B', or 'C' based on cumulative value %</w:t>
            </w:r>
          </w:p>
        </w:tc>
      </w:tr>
      <w:tr>
        <w:tc>
          <w:tcPr>
            <w:tcW w:type="dxa" w:w="3024"/>
          </w:tcPr>
          <w:p>
            <w:r>
              <w:rPr>
                <w:sz w:val="19"/>
              </w:rPr>
              <w:t>xyz_class</w:t>
            </w:r>
          </w:p>
        </w:tc>
        <w:tc>
          <w:tcPr>
            <w:tcW w:type="dxa" w:w="1008"/>
          </w:tcPr>
          <w:p>
            <w:r>
              <w:rPr>
                <w:sz w:val="19"/>
              </w:rPr>
              <w:t>TEXT</w:t>
            </w:r>
          </w:p>
        </w:tc>
        <w:tc>
          <w:tcPr>
            <w:tcW w:type="dxa" w:w="6336"/>
          </w:tcPr>
          <w:p>
            <w:r>
              <w:rPr>
                <w:sz w:val="19"/>
              </w:rPr>
              <w:t>'X', 'Y', or 'Z' based on consumption_volatility</w:t>
            </w:r>
          </w:p>
        </w:tc>
      </w:tr>
      <w:tr>
        <w:tc>
          <w:tcPr>
            <w:tcW w:type="dxa" w:w="3024"/>
          </w:tcPr>
          <w:p>
            <w:r>
              <w:rPr>
                <w:sz w:val="19"/>
              </w:rPr>
              <w:t>safety_stock_hist</w:t>
            </w:r>
          </w:p>
        </w:tc>
        <w:tc>
          <w:tcPr>
            <w:tcW w:type="dxa" w:w="1008"/>
          </w:tcPr>
          <w:p>
            <w:r>
              <w:rPr>
                <w:sz w:val="19"/>
              </w:rPr>
              <w:t>REAL</w:t>
            </w:r>
          </w:p>
        </w:tc>
        <w:tc>
          <w:tcPr>
            <w:tcW w:type="dxa" w:w="6336"/>
          </w:tcPr>
          <w:p>
            <w:r>
              <w:rPr>
                <w:sz w:val="19"/>
              </w:rPr>
              <w:t>Current safety stock as recorded in MRP sheet</w:t>
            </w:r>
          </w:p>
        </w:tc>
      </w:tr>
      <w:tr>
        <w:tc>
          <w:tcPr>
            <w:tcW w:type="dxa" w:w="3024"/>
          </w:tcPr>
          <w:p>
            <w:r>
              <w:rPr>
                <w:sz w:val="19"/>
              </w:rPr>
              <w:t>forecast_next_year</w:t>
            </w:r>
          </w:p>
        </w:tc>
        <w:tc>
          <w:tcPr>
            <w:tcW w:type="dxa" w:w="1008"/>
          </w:tcPr>
          <w:p>
            <w:r>
              <w:rPr>
                <w:sz w:val="19"/>
              </w:rPr>
              <w:t>REAL</w:t>
            </w:r>
          </w:p>
        </w:tc>
        <w:tc>
          <w:tcPr>
            <w:tcW w:type="dxa" w:w="6336"/>
          </w:tcPr>
          <w:p>
            <w:r>
              <w:rPr>
                <w:sz w:val="19"/>
              </w:rPr>
              <w:t>Recency-weighted demand forecast</w:t>
            </w:r>
          </w:p>
        </w:tc>
      </w:tr>
      <w:tr>
        <w:tc>
          <w:tcPr>
            <w:tcW w:type="dxa" w:w="3024"/>
          </w:tcPr>
          <w:p>
            <w:r>
              <w:rPr>
                <w:sz w:val="19"/>
              </w:rPr>
              <w:t>forecast_lower_band</w:t>
            </w:r>
          </w:p>
        </w:tc>
        <w:tc>
          <w:tcPr>
            <w:tcW w:type="dxa" w:w="1008"/>
          </w:tcPr>
          <w:p>
            <w:r>
              <w:rPr>
                <w:sz w:val="19"/>
              </w:rPr>
              <w:t>REAL</w:t>
            </w:r>
          </w:p>
        </w:tc>
        <w:tc>
          <w:tcPr>
            <w:tcW w:type="dxa" w:w="6336"/>
          </w:tcPr>
          <w:p>
            <w:r>
              <w:rPr>
                <w:sz w:val="19"/>
              </w:rPr>
              <w:t>forecast − 2σ (95% confidence lower bound)</w:t>
            </w:r>
          </w:p>
        </w:tc>
      </w:tr>
      <w:tr>
        <w:tc>
          <w:tcPr>
            <w:tcW w:type="dxa" w:w="3024"/>
          </w:tcPr>
          <w:p>
            <w:r>
              <w:rPr>
                <w:sz w:val="19"/>
              </w:rPr>
              <w:t>forecast_upper_band</w:t>
            </w:r>
          </w:p>
        </w:tc>
        <w:tc>
          <w:tcPr>
            <w:tcW w:type="dxa" w:w="1008"/>
          </w:tcPr>
          <w:p>
            <w:r>
              <w:rPr>
                <w:sz w:val="19"/>
              </w:rPr>
              <w:t>REAL</w:t>
            </w:r>
          </w:p>
        </w:tc>
        <w:tc>
          <w:tcPr>
            <w:tcW w:type="dxa" w:w="6336"/>
          </w:tcPr>
          <w:p>
            <w:r>
              <w:rPr>
                <w:sz w:val="19"/>
              </w:rPr>
              <w:t>forecast + 2σ (95% confidence upper bound)</w:t>
            </w:r>
          </w:p>
        </w:tc>
      </w:tr>
      <w:tr>
        <w:tc>
          <w:tcPr>
            <w:tcW w:type="dxa" w:w="3024"/>
          </w:tcPr>
          <w:p>
            <w:r>
              <w:rPr>
                <w:sz w:val="19"/>
              </w:rPr>
              <w:t>safety_stock_optimal_95</w:t>
            </w:r>
          </w:p>
        </w:tc>
        <w:tc>
          <w:tcPr>
            <w:tcW w:type="dxa" w:w="1008"/>
          </w:tcPr>
          <w:p>
            <w:r>
              <w:rPr>
                <w:sz w:val="19"/>
              </w:rPr>
              <w:t>REAL</w:t>
            </w:r>
          </w:p>
        </w:tc>
        <w:tc>
          <w:tcPr>
            <w:tcW w:type="dxa" w:w="6336"/>
          </w:tcPr>
          <w:p>
            <w:r>
              <w:rPr>
                <w:sz w:val="19"/>
              </w:rPr>
              <w:t>Optimal SS at 95% service level (z=1.645)</w:t>
            </w:r>
          </w:p>
        </w:tc>
      </w:tr>
      <w:tr>
        <w:tc>
          <w:tcPr>
            <w:tcW w:type="dxa" w:w="3024"/>
          </w:tcPr>
          <w:p>
            <w:r>
              <w:rPr>
                <w:sz w:val="19"/>
              </w:rPr>
              <w:t>safety_stock_optimal_98</w:t>
            </w:r>
          </w:p>
        </w:tc>
        <w:tc>
          <w:tcPr>
            <w:tcW w:type="dxa" w:w="1008"/>
          </w:tcPr>
          <w:p>
            <w:r>
              <w:rPr>
                <w:sz w:val="19"/>
              </w:rPr>
              <w:t>REAL</w:t>
            </w:r>
          </w:p>
        </w:tc>
        <w:tc>
          <w:tcPr>
            <w:tcW w:type="dxa" w:w="6336"/>
          </w:tcPr>
          <w:p>
            <w:r>
              <w:rPr>
                <w:sz w:val="19"/>
              </w:rPr>
              <w:t>Optimal SS at 98% service level (z=2.054)</w:t>
            </w:r>
          </w:p>
        </w:tc>
      </w:tr>
      <w:tr>
        <w:tc>
          <w:tcPr>
            <w:tcW w:type="dxa" w:w="3024"/>
          </w:tcPr>
          <w:p>
            <w:r>
              <w:rPr>
                <w:sz w:val="19"/>
              </w:rPr>
              <w:t>safety_stock_optimal_99</w:t>
            </w:r>
          </w:p>
        </w:tc>
        <w:tc>
          <w:tcPr>
            <w:tcW w:type="dxa" w:w="1008"/>
          </w:tcPr>
          <w:p>
            <w:r>
              <w:rPr>
                <w:sz w:val="19"/>
              </w:rPr>
              <w:t>REAL</w:t>
            </w:r>
          </w:p>
        </w:tc>
        <w:tc>
          <w:tcPr>
            <w:tcW w:type="dxa" w:w="6336"/>
          </w:tcPr>
          <w:p>
            <w:r>
              <w:rPr>
                <w:sz w:val="19"/>
              </w:rPr>
              <w:t>Optimal SS at 99% service level (z=2.326)</w:t>
            </w:r>
          </w:p>
        </w:tc>
      </w:tr>
      <w:tr>
        <w:tc>
          <w:tcPr>
            <w:tcW w:type="dxa" w:w="3024"/>
          </w:tcPr>
          <w:p>
            <w:r>
              <w:rPr>
                <w:sz w:val="19"/>
              </w:rPr>
              <w:t>ss_delta_value_95</w:t>
            </w:r>
          </w:p>
        </w:tc>
        <w:tc>
          <w:tcPr>
            <w:tcW w:type="dxa" w:w="1008"/>
          </w:tcPr>
          <w:p>
            <w:r>
              <w:rPr>
                <w:sz w:val="19"/>
              </w:rPr>
              <w:t>REAL</w:t>
            </w:r>
          </w:p>
        </w:tc>
        <w:tc>
          <w:tcPr>
            <w:tcW w:type="dxa" w:w="6336"/>
          </w:tcPr>
          <w:p>
            <w:r>
              <w:rPr>
                <w:sz w:val="19"/>
              </w:rPr>
              <w:t>(current SS − optimal_95) × MUAC; +ve = releasable</w:t>
            </w:r>
          </w:p>
        </w:tc>
      </w:tr>
      <w:tr>
        <w:tc>
          <w:tcPr>
            <w:tcW w:type="dxa" w:w="3024"/>
          </w:tcPr>
          <w:p>
            <w:r>
              <w:rPr>
                <w:sz w:val="19"/>
              </w:rPr>
              <w:t>ss_delta_value_98</w:t>
            </w:r>
          </w:p>
        </w:tc>
        <w:tc>
          <w:tcPr>
            <w:tcW w:type="dxa" w:w="1008"/>
          </w:tcPr>
          <w:p>
            <w:r>
              <w:rPr>
                <w:sz w:val="19"/>
              </w:rPr>
              <w:t>REAL</w:t>
            </w:r>
          </w:p>
        </w:tc>
        <w:tc>
          <w:tcPr>
            <w:tcW w:type="dxa" w:w="6336"/>
          </w:tcPr>
          <w:p>
            <w:r>
              <w:rPr>
                <w:sz w:val="19"/>
              </w:rPr>
              <w:t>Same for 98% SL</w:t>
            </w:r>
          </w:p>
        </w:tc>
      </w:tr>
      <w:tr>
        <w:tc>
          <w:tcPr>
            <w:tcW w:type="dxa" w:w="3024"/>
          </w:tcPr>
          <w:p>
            <w:r>
              <w:rPr>
                <w:sz w:val="19"/>
              </w:rPr>
              <w:t>ss_delta_value_99</w:t>
            </w:r>
          </w:p>
        </w:tc>
        <w:tc>
          <w:tcPr>
            <w:tcW w:type="dxa" w:w="1008"/>
          </w:tcPr>
          <w:p>
            <w:r>
              <w:rPr>
                <w:sz w:val="19"/>
              </w:rPr>
              <w:t>REAL</w:t>
            </w:r>
          </w:p>
        </w:tc>
        <w:tc>
          <w:tcPr>
            <w:tcW w:type="dxa" w:w="6336"/>
          </w:tcPr>
          <w:p>
            <w:r>
              <w:rPr>
                <w:sz w:val="19"/>
              </w:rPr>
              <w:t>Same for 99% SL</w:t>
            </w:r>
          </w:p>
        </w:tc>
      </w:tr>
    </w:tbl>
    <w:p/>
    <w:p>
      <w:pPr>
        <w:spacing w:before="280" w:after="60"/>
      </w:pPr>
      <w:r>
        <w:rPr>
          <w:b/>
          <w:color w:val="F59E0B"/>
          <w:sz w:val="26"/>
        </w:rPr>
        <w:t>3.2  planning_master</w:t>
      </w:r>
    </w:p>
    <w:p>
      <w:pPr>
        <w:spacing w:after="100"/>
      </w:pPr>
      <w:r>
        <w:rPr>
          <w:sz w:val="21"/>
        </w:rPr>
        <w:t>One row per material per warehouse (P9 or 21C). The operational heart of the system.</w:t>
      </w:r>
    </w:p>
    <w:tbl>
      <w:tblPr>
        <w:tblStyle w:val="TableGrid"/>
        <w:tblW w:type="auto" w:w="0"/>
        <w:tblLook w:firstColumn="1" w:firstRow="1" w:lastColumn="0" w:lastRow="0" w:noHBand="0" w:noVBand="1" w:val="04A0"/>
      </w:tblPr>
      <w:tblGrid>
        <w:gridCol w:w="3022"/>
        <w:gridCol w:w="3022"/>
        <w:gridCol w:w="3022"/>
      </w:tblGrid>
      <w:tr>
        <w:tc>
          <w:tcPr>
            <w:tcW w:type="dxa" w:w="2880"/>
            <w:shd w:val="clear" w:color="auto" w:fill="0E1623"/>
          </w:tcPr>
          <w:p>
            <w:r>
              <w:rPr>
                <w:b/>
                <w:color w:val="FFFFFF"/>
                <w:sz w:val="19"/>
              </w:rPr>
              <w:t>Column</w:t>
            </w:r>
          </w:p>
        </w:tc>
        <w:tc>
          <w:tcPr>
            <w:tcW w:type="dxa" w:w="1008"/>
            <w:shd w:val="clear" w:color="auto" w:fill="0E1623"/>
          </w:tcPr>
          <w:p>
            <w:r>
              <w:rPr>
                <w:b/>
                <w:color w:val="FFFFFF"/>
                <w:sz w:val="19"/>
              </w:rPr>
              <w:t>Type</w:t>
            </w:r>
          </w:p>
        </w:tc>
        <w:tc>
          <w:tcPr>
            <w:tcW w:type="dxa" w:w="6480"/>
            <w:shd w:val="clear" w:color="auto" w:fill="0E1623"/>
          </w:tcPr>
          <w:p>
            <w:r>
              <w:rPr>
                <w:b/>
                <w:color w:val="FFFFFF"/>
                <w:sz w:val="19"/>
              </w:rPr>
              <w:t>Description</w:t>
            </w:r>
          </w:p>
        </w:tc>
      </w:tr>
      <w:tr>
        <w:tc>
          <w:tcPr>
            <w:tcW w:type="dxa" w:w="2880"/>
          </w:tcPr>
          <w:p>
            <w:r>
              <w:rPr>
                <w:sz w:val="19"/>
              </w:rPr>
              <w:t>material_code</w:t>
            </w:r>
          </w:p>
        </w:tc>
        <w:tc>
          <w:tcPr>
            <w:tcW w:type="dxa" w:w="1008"/>
          </w:tcPr>
          <w:p>
            <w:r>
              <w:rPr>
                <w:sz w:val="19"/>
              </w:rPr>
              <w:t>TEXT</w:t>
            </w:r>
          </w:p>
        </w:tc>
        <w:tc>
          <w:tcPr>
            <w:tcW w:type="dxa" w:w="6480"/>
          </w:tcPr>
          <w:p>
            <w:r>
              <w:rPr>
                <w:sz w:val="19"/>
              </w:rPr>
              <w:t>Part number</w:t>
            </w:r>
          </w:p>
        </w:tc>
      </w:tr>
      <w:tr>
        <w:tc>
          <w:tcPr>
            <w:tcW w:type="dxa" w:w="2880"/>
          </w:tcPr>
          <w:p>
            <w:r>
              <w:rPr>
                <w:sz w:val="19"/>
              </w:rPr>
              <w:t>description</w:t>
            </w:r>
          </w:p>
        </w:tc>
        <w:tc>
          <w:tcPr>
            <w:tcW w:type="dxa" w:w="1008"/>
          </w:tcPr>
          <w:p>
            <w:r>
              <w:rPr>
                <w:sz w:val="19"/>
              </w:rPr>
              <w:t>TEXT</w:t>
            </w:r>
          </w:p>
        </w:tc>
        <w:tc>
          <w:tcPr>
            <w:tcW w:type="dxa" w:w="6480"/>
          </w:tcPr>
          <w:p>
            <w:r>
              <w:rPr>
                <w:sz w:val="19"/>
              </w:rPr>
              <w:t>Material description</w:t>
            </w:r>
          </w:p>
        </w:tc>
      </w:tr>
      <w:tr>
        <w:tc>
          <w:tcPr>
            <w:tcW w:type="dxa" w:w="2880"/>
          </w:tcPr>
          <w:p>
            <w:r>
              <w:rPr>
                <w:sz w:val="19"/>
              </w:rPr>
              <w:t>warehouse</w:t>
            </w:r>
          </w:p>
        </w:tc>
        <w:tc>
          <w:tcPr>
            <w:tcW w:type="dxa" w:w="1008"/>
          </w:tcPr>
          <w:p>
            <w:r>
              <w:rPr>
                <w:sz w:val="19"/>
              </w:rPr>
              <w:t>TEXT</w:t>
            </w:r>
          </w:p>
        </w:tc>
        <w:tc>
          <w:tcPr>
            <w:tcW w:type="dxa" w:w="6480"/>
          </w:tcPr>
          <w:p>
            <w:r>
              <w:rPr>
                <w:sz w:val="19"/>
              </w:rPr>
              <w:t>'P9' or '21C'</w:t>
            </w:r>
          </w:p>
        </w:tc>
      </w:tr>
      <w:tr>
        <w:tc>
          <w:tcPr>
            <w:tcW w:type="dxa" w:w="2880"/>
          </w:tcPr>
          <w:p>
            <w:r>
              <w:rPr>
                <w:sz w:val="19"/>
              </w:rPr>
              <w:t>data_date</w:t>
            </w:r>
          </w:p>
        </w:tc>
        <w:tc>
          <w:tcPr>
            <w:tcW w:type="dxa" w:w="1008"/>
          </w:tcPr>
          <w:p>
            <w:r>
              <w:rPr>
                <w:sz w:val="19"/>
              </w:rPr>
              <w:t>TEXT</w:t>
            </w:r>
          </w:p>
        </w:tc>
        <w:tc>
          <w:tcPr>
            <w:tcW w:type="dxa" w:w="6480"/>
          </w:tcPr>
          <w:p>
            <w:r>
              <w:rPr>
                <w:sz w:val="19"/>
              </w:rPr>
              <w:t>Date of the source planning sheet</w:t>
            </w:r>
          </w:p>
        </w:tc>
      </w:tr>
      <w:tr>
        <w:tc>
          <w:tcPr>
            <w:tcW w:type="dxa" w:w="2880"/>
          </w:tcPr>
          <w:p>
            <w:r>
              <w:rPr>
                <w:sz w:val="19"/>
              </w:rPr>
              <w:t>current_stock</w:t>
            </w:r>
          </w:p>
        </w:tc>
        <w:tc>
          <w:tcPr>
            <w:tcW w:type="dxa" w:w="1008"/>
          </w:tcPr>
          <w:p>
            <w:r>
              <w:rPr>
                <w:sz w:val="19"/>
              </w:rPr>
              <w:t>REAL</w:t>
            </w:r>
          </w:p>
        </w:tc>
        <w:tc>
          <w:tcPr>
            <w:tcW w:type="dxa" w:w="6480"/>
          </w:tcPr>
          <w:p>
            <w:r>
              <w:rPr>
                <w:sz w:val="19"/>
              </w:rPr>
              <w:t>Physical stock on hand at that warehouse</w:t>
            </w:r>
          </w:p>
        </w:tc>
      </w:tr>
      <w:tr>
        <w:tc>
          <w:tcPr>
            <w:tcW w:type="dxa" w:w="2880"/>
          </w:tcPr>
          <w:p>
            <w:r>
              <w:rPr>
                <w:sz w:val="19"/>
              </w:rPr>
              <w:t>allocation</w:t>
            </w:r>
          </w:p>
        </w:tc>
        <w:tc>
          <w:tcPr>
            <w:tcW w:type="dxa" w:w="1008"/>
          </w:tcPr>
          <w:p>
            <w:r>
              <w:rPr>
                <w:sz w:val="19"/>
              </w:rPr>
              <w:t>REAL</w:t>
            </w:r>
          </w:p>
        </w:tc>
        <w:tc>
          <w:tcPr>
            <w:tcW w:type="dxa" w:w="6480"/>
          </w:tcPr>
          <w:p>
            <w:r>
              <w:rPr>
                <w:sz w:val="19"/>
              </w:rPr>
              <w:t>Qty reserved for production orders</w:t>
            </w:r>
          </w:p>
        </w:tc>
      </w:tr>
      <w:tr>
        <w:tc>
          <w:tcPr>
            <w:tcW w:type="dxa" w:w="2880"/>
          </w:tcPr>
          <w:p>
            <w:r>
              <w:rPr>
                <w:sz w:val="19"/>
              </w:rPr>
              <w:t>pending_order_qty</w:t>
            </w:r>
          </w:p>
        </w:tc>
        <w:tc>
          <w:tcPr>
            <w:tcW w:type="dxa" w:w="1008"/>
          </w:tcPr>
          <w:p>
            <w:r>
              <w:rPr>
                <w:sz w:val="19"/>
              </w:rPr>
              <w:t>REAL</w:t>
            </w:r>
          </w:p>
        </w:tc>
        <w:tc>
          <w:tcPr>
            <w:tcW w:type="dxa" w:w="6480"/>
          </w:tcPr>
          <w:p>
            <w:r>
              <w:rPr>
                <w:sz w:val="19"/>
              </w:rPr>
              <w:t>Open purchase orders not yet received</w:t>
            </w:r>
          </w:p>
        </w:tc>
      </w:tr>
      <w:tr>
        <w:tc>
          <w:tcPr>
            <w:tcW w:type="dxa" w:w="2880"/>
          </w:tcPr>
          <w:p>
            <w:r>
              <w:rPr>
                <w:sz w:val="19"/>
              </w:rPr>
              <w:t>safety_stock</w:t>
            </w:r>
          </w:p>
        </w:tc>
        <w:tc>
          <w:tcPr>
            <w:tcW w:type="dxa" w:w="1008"/>
          </w:tcPr>
          <w:p>
            <w:r>
              <w:rPr>
                <w:sz w:val="19"/>
              </w:rPr>
              <w:t>REAL</w:t>
            </w:r>
          </w:p>
        </w:tc>
        <w:tc>
          <w:tcPr>
            <w:tcW w:type="dxa" w:w="6480"/>
          </w:tcPr>
          <w:p>
            <w:r>
              <w:rPr>
                <w:sz w:val="19"/>
              </w:rPr>
              <w:t>Safety stock target as per planning sheet</w:t>
            </w:r>
          </w:p>
        </w:tc>
      </w:tr>
      <w:tr>
        <w:tc>
          <w:tcPr>
            <w:tcW w:type="dxa" w:w="2880"/>
          </w:tcPr>
          <w:p>
            <w:r>
              <w:rPr>
                <w:sz w:val="19"/>
              </w:rPr>
              <w:t>safety_stock_gap</w:t>
            </w:r>
          </w:p>
        </w:tc>
        <w:tc>
          <w:tcPr>
            <w:tcW w:type="dxa" w:w="1008"/>
          </w:tcPr>
          <w:p>
            <w:r>
              <w:rPr>
                <w:sz w:val="19"/>
              </w:rPr>
              <w:t>REAL</w:t>
            </w:r>
          </w:p>
        </w:tc>
        <w:tc>
          <w:tcPr>
            <w:tcW w:type="dxa" w:w="6480"/>
          </w:tcPr>
          <w:p>
            <w:r>
              <w:rPr>
                <w:sz w:val="19"/>
              </w:rPr>
              <w:t>(stock + pending − allocation) − safety_stock; negative = shortage</w:t>
            </w:r>
          </w:p>
        </w:tc>
      </w:tr>
      <w:tr>
        <w:tc>
          <w:tcPr>
            <w:tcW w:type="dxa" w:w="2880"/>
          </w:tcPr>
          <w:p>
            <w:r>
              <w:rPr>
                <w:sz w:val="19"/>
              </w:rPr>
              <w:t>tbo_qty</w:t>
            </w:r>
          </w:p>
        </w:tc>
        <w:tc>
          <w:tcPr>
            <w:tcW w:type="dxa" w:w="1008"/>
          </w:tcPr>
          <w:p>
            <w:r>
              <w:rPr>
                <w:sz w:val="19"/>
              </w:rPr>
              <w:t>REAL</w:t>
            </w:r>
          </w:p>
        </w:tc>
        <w:tc>
          <w:tcPr>
            <w:tcW w:type="dxa" w:w="6480"/>
          </w:tcPr>
          <w:p>
            <w:r>
              <w:rPr>
                <w:sz w:val="19"/>
              </w:rPr>
              <w:t>To-Be-Ordered quantity from planning sheet</w:t>
            </w:r>
          </w:p>
        </w:tc>
      </w:tr>
      <w:tr>
        <w:tc>
          <w:tcPr>
            <w:tcW w:type="dxa" w:w="2880"/>
          </w:tcPr>
          <w:p>
            <w:r>
              <w:rPr>
                <w:sz w:val="19"/>
              </w:rPr>
              <w:t>unit_price</w:t>
            </w:r>
          </w:p>
        </w:tc>
        <w:tc>
          <w:tcPr>
            <w:tcW w:type="dxa" w:w="1008"/>
          </w:tcPr>
          <w:p>
            <w:r>
              <w:rPr>
                <w:sz w:val="19"/>
              </w:rPr>
              <w:t>REAL</w:t>
            </w:r>
          </w:p>
        </w:tc>
        <w:tc>
          <w:tcPr>
            <w:tcW w:type="dxa" w:w="6480"/>
          </w:tcPr>
          <w:p>
            <w:r>
              <w:rPr>
                <w:sz w:val="19"/>
              </w:rPr>
              <w:t>Unit purchase price (₹)</w:t>
            </w:r>
          </w:p>
        </w:tc>
      </w:tr>
      <w:tr>
        <w:tc>
          <w:tcPr>
            <w:tcW w:type="dxa" w:w="2880"/>
          </w:tcPr>
          <w:p>
            <w:r>
              <w:rPr>
                <w:sz w:val="19"/>
              </w:rPr>
              <w:t>order_amount</w:t>
            </w:r>
          </w:p>
        </w:tc>
        <w:tc>
          <w:tcPr>
            <w:tcW w:type="dxa" w:w="1008"/>
          </w:tcPr>
          <w:p>
            <w:r>
              <w:rPr>
                <w:sz w:val="19"/>
              </w:rPr>
              <w:t>REAL</w:t>
            </w:r>
          </w:p>
        </w:tc>
        <w:tc>
          <w:tcPr>
            <w:tcW w:type="dxa" w:w="6480"/>
          </w:tcPr>
          <w:p>
            <w:r>
              <w:rPr>
                <w:sz w:val="19"/>
              </w:rPr>
              <w:t>tbo_qty × unit_price</w:t>
            </w:r>
          </w:p>
        </w:tc>
      </w:tr>
      <w:tr>
        <w:tc>
          <w:tcPr>
            <w:tcW w:type="dxa" w:w="2880"/>
          </w:tcPr>
          <w:p>
            <w:r>
              <w:rPr>
                <w:sz w:val="19"/>
              </w:rPr>
              <w:t>supplier_name</w:t>
            </w:r>
          </w:p>
        </w:tc>
        <w:tc>
          <w:tcPr>
            <w:tcW w:type="dxa" w:w="1008"/>
          </w:tcPr>
          <w:p>
            <w:r>
              <w:rPr>
                <w:sz w:val="19"/>
              </w:rPr>
              <w:t>TEXT</w:t>
            </w:r>
          </w:p>
        </w:tc>
        <w:tc>
          <w:tcPr>
            <w:tcW w:type="dxa" w:w="6480"/>
          </w:tcPr>
          <w:p>
            <w:r>
              <w:rPr>
                <w:sz w:val="19"/>
              </w:rPr>
              <w:t>Primary supplier for this material at this warehouse</w:t>
            </w:r>
          </w:p>
        </w:tc>
      </w:tr>
      <w:tr>
        <w:tc>
          <w:tcPr>
            <w:tcW w:type="dxa" w:w="2880"/>
          </w:tcPr>
          <w:p>
            <w:r>
              <w:rPr>
                <w:sz w:val="19"/>
              </w:rPr>
              <w:t>stock_value</w:t>
            </w:r>
          </w:p>
        </w:tc>
        <w:tc>
          <w:tcPr>
            <w:tcW w:type="dxa" w:w="1008"/>
          </w:tcPr>
          <w:p>
            <w:r>
              <w:rPr>
                <w:sz w:val="19"/>
              </w:rPr>
              <w:t>REAL</w:t>
            </w:r>
          </w:p>
        </w:tc>
        <w:tc>
          <w:tcPr>
            <w:tcW w:type="dxa" w:w="6480"/>
          </w:tcPr>
          <w:p>
            <w:r>
              <w:rPr>
                <w:sz w:val="19"/>
              </w:rPr>
              <w:t>current_stock × unit_price</w:t>
            </w:r>
          </w:p>
        </w:tc>
      </w:tr>
      <w:tr>
        <w:tc>
          <w:tcPr>
            <w:tcW w:type="dxa" w:w="2880"/>
          </w:tcPr>
          <w:p>
            <w:r>
              <w:rPr>
                <w:sz w:val="19"/>
              </w:rPr>
              <w:t>allocation_value</w:t>
            </w:r>
          </w:p>
        </w:tc>
        <w:tc>
          <w:tcPr>
            <w:tcW w:type="dxa" w:w="1008"/>
          </w:tcPr>
          <w:p>
            <w:r>
              <w:rPr>
                <w:sz w:val="19"/>
              </w:rPr>
              <w:t>REAL</w:t>
            </w:r>
          </w:p>
        </w:tc>
        <w:tc>
          <w:tcPr>
            <w:tcW w:type="dxa" w:w="6480"/>
          </w:tcPr>
          <w:p>
            <w:r>
              <w:rPr>
                <w:sz w:val="19"/>
              </w:rPr>
              <w:t>allocation × unit_price</w:t>
            </w:r>
          </w:p>
        </w:tc>
      </w:tr>
      <w:tr>
        <w:tc>
          <w:tcPr>
            <w:tcW w:type="dxa" w:w="2880"/>
          </w:tcPr>
          <w:p>
            <w:r>
              <w:rPr>
                <w:sz w:val="19"/>
              </w:rPr>
              <w:t>pending_order_value</w:t>
            </w:r>
          </w:p>
        </w:tc>
        <w:tc>
          <w:tcPr>
            <w:tcW w:type="dxa" w:w="1008"/>
          </w:tcPr>
          <w:p>
            <w:r>
              <w:rPr>
                <w:sz w:val="19"/>
              </w:rPr>
              <w:t>REAL</w:t>
            </w:r>
          </w:p>
        </w:tc>
        <w:tc>
          <w:tcPr>
            <w:tcW w:type="dxa" w:w="6480"/>
          </w:tcPr>
          <w:p>
            <w:r>
              <w:rPr>
                <w:sz w:val="19"/>
              </w:rPr>
              <w:t>pending_order_qty × unit_price</w:t>
            </w:r>
          </w:p>
        </w:tc>
      </w:tr>
      <w:tr>
        <w:tc>
          <w:tcPr>
            <w:tcW w:type="dxa" w:w="2880"/>
          </w:tcPr>
          <w:p>
            <w:r>
              <w:rPr>
                <w:sz w:val="19"/>
              </w:rPr>
              <w:t>lead_time_weeks</w:t>
            </w:r>
          </w:p>
        </w:tc>
        <w:tc>
          <w:tcPr>
            <w:tcW w:type="dxa" w:w="1008"/>
          </w:tcPr>
          <w:p>
            <w:r>
              <w:rPr>
                <w:sz w:val="19"/>
              </w:rPr>
              <w:t>REAL</w:t>
            </w:r>
          </w:p>
        </w:tc>
        <w:tc>
          <w:tcPr>
            <w:tcW w:type="dxa" w:w="6480"/>
          </w:tcPr>
          <w:p>
            <w:r>
              <w:rPr>
                <w:sz w:val="19"/>
              </w:rPr>
              <w:t>Supplier lead time in weeks</w:t>
            </w:r>
          </w:p>
        </w:tc>
      </w:tr>
      <w:tr>
        <w:tc>
          <w:tcPr>
            <w:tcW w:type="dxa" w:w="2880"/>
          </w:tcPr>
          <w:p>
            <w:r>
              <w:rPr>
                <w:sz w:val="19"/>
              </w:rPr>
              <w:t>annual_consumption</w:t>
            </w:r>
          </w:p>
        </w:tc>
        <w:tc>
          <w:tcPr>
            <w:tcW w:type="dxa" w:w="1008"/>
          </w:tcPr>
          <w:p>
            <w:r>
              <w:rPr>
                <w:sz w:val="19"/>
              </w:rPr>
              <w:t>REAL</w:t>
            </w:r>
          </w:p>
        </w:tc>
        <w:tc>
          <w:tcPr>
            <w:tcW w:type="dxa" w:w="6480"/>
          </w:tcPr>
          <w:p>
            <w:r>
              <w:rPr>
                <w:sz w:val="19"/>
              </w:rPr>
              <w:t>Annual consumption (available for 21C; null for P9)</w:t>
            </w:r>
          </w:p>
        </w:tc>
      </w:tr>
      <w:tr>
        <w:tc>
          <w:tcPr>
            <w:tcW w:type="dxa" w:w="2880"/>
          </w:tcPr>
          <w:p>
            <w:r>
              <w:rPr>
                <w:sz w:val="19"/>
              </w:rPr>
              <w:t>is_critical</w:t>
            </w:r>
          </w:p>
        </w:tc>
        <w:tc>
          <w:tcPr>
            <w:tcW w:type="dxa" w:w="1008"/>
          </w:tcPr>
          <w:p>
            <w:r>
              <w:rPr>
                <w:sz w:val="19"/>
              </w:rPr>
              <w:t>INT</w:t>
            </w:r>
          </w:p>
        </w:tc>
        <w:tc>
          <w:tcPr>
            <w:tcW w:type="dxa" w:w="6480"/>
          </w:tcPr>
          <w:p>
            <w:r>
              <w:rPr>
                <w:sz w:val="19"/>
              </w:rPr>
              <w:t>1 if safety_stock_gap &lt; 0 AND tbo_qty = 0 (no order placed)</w:t>
            </w:r>
          </w:p>
        </w:tc>
      </w:tr>
      <w:tr>
        <w:tc>
          <w:tcPr>
            <w:tcW w:type="dxa" w:w="2880"/>
          </w:tcPr>
          <w:p>
            <w:r>
              <w:rPr>
                <w:sz w:val="19"/>
              </w:rPr>
              <w:t>tbo_enhanced</w:t>
            </w:r>
          </w:p>
        </w:tc>
        <w:tc>
          <w:tcPr>
            <w:tcW w:type="dxa" w:w="1008"/>
          </w:tcPr>
          <w:p>
            <w:r>
              <w:rPr>
                <w:sz w:val="19"/>
              </w:rPr>
              <w:t>REAL</w:t>
            </w:r>
          </w:p>
        </w:tc>
        <w:tc>
          <w:tcPr>
            <w:tcW w:type="dxa" w:w="6480"/>
          </w:tcPr>
          <w:p>
            <w:r>
              <w:rPr>
                <w:sz w:val="19"/>
              </w:rPr>
              <w:t>System-recalculated TBO using ROP method</w:t>
            </w:r>
          </w:p>
        </w:tc>
      </w:tr>
      <w:tr>
        <w:tc>
          <w:tcPr>
            <w:tcW w:type="dxa" w:w="2880"/>
          </w:tcPr>
          <w:p>
            <w:r>
              <w:rPr>
                <w:sz w:val="19"/>
              </w:rPr>
              <w:t>tbo_priority</w:t>
            </w:r>
          </w:p>
        </w:tc>
        <w:tc>
          <w:tcPr>
            <w:tcW w:type="dxa" w:w="1008"/>
          </w:tcPr>
          <w:p>
            <w:r>
              <w:rPr>
                <w:sz w:val="19"/>
              </w:rPr>
              <w:t>TEXT</w:t>
            </w:r>
          </w:p>
        </w:tc>
        <w:tc>
          <w:tcPr>
            <w:tcW w:type="dxa" w:w="6480"/>
          </w:tcPr>
          <w:p>
            <w:r>
              <w:rPr>
                <w:sz w:val="19"/>
              </w:rPr>
              <w:t>'High', 'Medium', or 'Low' based on shortage severity</w:t>
            </w:r>
          </w:p>
        </w:tc>
      </w:tr>
      <w:tr>
        <w:tc>
          <w:tcPr>
            <w:tcW w:type="dxa" w:w="2880"/>
          </w:tcPr>
          <w:p>
            <w:r>
              <w:rPr>
                <w:sz w:val="19"/>
              </w:rPr>
              <w:t>available_inventory</w:t>
            </w:r>
          </w:p>
        </w:tc>
        <w:tc>
          <w:tcPr>
            <w:tcW w:type="dxa" w:w="1008"/>
          </w:tcPr>
          <w:p>
            <w:r>
              <w:rPr>
                <w:sz w:val="19"/>
              </w:rPr>
              <w:t>REAL</w:t>
            </w:r>
          </w:p>
        </w:tc>
        <w:tc>
          <w:tcPr>
            <w:tcW w:type="dxa" w:w="6480"/>
          </w:tcPr>
          <w:p>
            <w:r>
              <w:rPr>
                <w:sz w:val="19"/>
              </w:rPr>
              <w:t>current_stock + pending_order_qty − allocation</w:t>
            </w:r>
          </w:p>
        </w:tc>
      </w:tr>
      <w:tr>
        <w:tc>
          <w:tcPr>
            <w:tcW w:type="dxa" w:w="2880"/>
          </w:tcPr>
          <w:p>
            <w:r>
              <w:rPr>
                <w:sz w:val="19"/>
              </w:rPr>
              <w:t>reorder_point</w:t>
            </w:r>
          </w:p>
        </w:tc>
        <w:tc>
          <w:tcPr>
            <w:tcW w:type="dxa" w:w="1008"/>
          </w:tcPr>
          <w:p>
            <w:r>
              <w:rPr>
                <w:sz w:val="19"/>
              </w:rPr>
              <w:t>REAL</w:t>
            </w:r>
          </w:p>
        </w:tc>
        <w:tc>
          <w:tcPr>
            <w:tcW w:type="dxa" w:w="6480"/>
          </w:tcPr>
          <w:p>
            <w:r>
              <w:rPr>
                <w:sz w:val="19"/>
              </w:rPr>
              <w:t>ROP computed by enhanced TBO formula</w:t>
            </w:r>
          </w:p>
        </w:tc>
      </w:tr>
    </w:tbl>
    <w:p/>
    <w:p>
      <w:pPr>
        <w:spacing w:before="280" w:after="60"/>
      </w:pPr>
      <w:r>
        <w:rPr>
          <w:b/>
          <w:color w:val="F59E0B"/>
          <w:sz w:val="26"/>
        </w:rPr>
        <w:t>3.3  supplier_risk</w:t>
      </w:r>
    </w:p>
    <w:p>
      <w:pPr>
        <w:spacing w:after="100"/>
      </w:pPr>
      <w:r>
        <w:rPr>
          <w:sz w:val="21"/>
        </w:rPr>
        <w:t>One row per supplier. Computed by supplier_analytics.py at database build time.</w:t>
      </w:r>
    </w:p>
    <w:tbl>
      <w:tblPr>
        <w:tblStyle w:val="TableGrid"/>
        <w:tblW w:type="auto" w:w="0"/>
        <w:tblLook w:firstColumn="1" w:firstRow="1" w:lastColumn="0" w:lastRow="0" w:noHBand="0" w:noVBand="1" w:val="04A0"/>
      </w:tblPr>
      <w:tblGrid>
        <w:gridCol w:w="4533"/>
        <w:gridCol w:w="4533"/>
      </w:tblGrid>
      <w:tr>
        <w:tc>
          <w:tcPr>
            <w:tcW w:type="dxa" w:w="3168"/>
            <w:shd w:val="clear" w:color="auto" w:fill="0E1623"/>
          </w:tcPr>
          <w:p>
            <w:r>
              <w:rPr>
                <w:b/>
                <w:color w:val="FFFFFF"/>
                <w:sz w:val="19"/>
              </w:rPr>
              <w:t>Column</w:t>
            </w:r>
          </w:p>
        </w:tc>
        <w:tc>
          <w:tcPr>
            <w:tcW w:type="dxa" w:w="7200"/>
            <w:shd w:val="clear" w:color="auto" w:fill="0E1623"/>
          </w:tcPr>
          <w:p>
            <w:r>
              <w:rPr>
                <w:b/>
                <w:color w:val="FFFFFF"/>
                <w:sz w:val="19"/>
              </w:rPr>
              <w:t>Description</w:t>
            </w:r>
          </w:p>
        </w:tc>
      </w:tr>
      <w:tr>
        <w:tc>
          <w:tcPr>
            <w:tcW w:type="dxa" w:w="3168"/>
          </w:tcPr>
          <w:p>
            <w:r>
              <w:rPr>
                <w:sz w:val="19"/>
              </w:rPr>
              <w:t>supplier_name</w:t>
            </w:r>
          </w:p>
        </w:tc>
        <w:tc>
          <w:tcPr>
            <w:tcW w:type="dxa" w:w="7200"/>
          </w:tcPr>
          <w:p>
            <w:r>
              <w:rPr>
                <w:sz w:val="19"/>
              </w:rPr>
              <w:t>Supplier identifier (exact match to planning_master)</w:t>
            </w:r>
          </w:p>
        </w:tc>
      </w:tr>
      <w:tr>
        <w:tc>
          <w:tcPr>
            <w:tcW w:type="dxa" w:w="3168"/>
          </w:tcPr>
          <w:p>
            <w:r>
              <w:rPr>
                <w:sz w:val="19"/>
              </w:rPr>
              <w:t>material_count</w:t>
            </w:r>
          </w:p>
        </w:tc>
        <w:tc>
          <w:tcPr>
            <w:tcW w:type="dxa" w:w="7200"/>
          </w:tcPr>
          <w:p>
            <w:r>
              <w:rPr>
                <w:sz w:val="19"/>
              </w:rPr>
              <w:t>Total distinct materials supplied</w:t>
            </w:r>
          </w:p>
        </w:tc>
      </w:tr>
      <w:tr>
        <w:tc>
          <w:tcPr>
            <w:tcW w:type="dxa" w:w="3168"/>
          </w:tcPr>
          <w:p>
            <w:r>
              <w:rPr>
                <w:sz w:val="19"/>
              </w:rPr>
              <w:t>warehouse_count</w:t>
            </w:r>
          </w:p>
        </w:tc>
        <w:tc>
          <w:tcPr>
            <w:tcW w:type="dxa" w:w="7200"/>
          </w:tcPr>
          <w:p>
            <w:r>
              <w:rPr>
                <w:sz w:val="19"/>
              </w:rPr>
              <w:t>Number of distinct warehouses (P9 / 21C)</w:t>
            </w:r>
          </w:p>
        </w:tc>
      </w:tr>
      <w:tr>
        <w:tc>
          <w:tcPr>
            <w:tcW w:type="dxa" w:w="3168"/>
          </w:tcPr>
          <w:p>
            <w:r>
              <w:rPr>
                <w:sz w:val="19"/>
              </w:rPr>
              <w:t>spend_value</w:t>
            </w:r>
          </w:p>
        </w:tc>
        <w:tc>
          <w:tcPr>
            <w:tcW w:type="dxa" w:w="7200"/>
          </w:tcPr>
          <w:p>
            <w:r>
              <w:rPr>
                <w:sz w:val="19"/>
              </w:rPr>
              <w:t>Total open spend = Σ(order_amount + pending_order_value)</w:t>
            </w:r>
          </w:p>
        </w:tc>
      </w:tr>
      <w:tr>
        <w:tc>
          <w:tcPr>
            <w:tcW w:type="dxa" w:w="3168"/>
          </w:tcPr>
          <w:p>
            <w:r>
              <w:rPr>
                <w:sz w:val="19"/>
              </w:rPr>
              <w:t>spend_pct</w:t>
            </w:r>
          </w:p>
        </w:tc>
        <w:tc>
          <w:tcPr>
            <w:tcW w:type="dxa" w:w="7200"/>
          </w:tcPr>
          <w:p>
            <w:r>
              <w:rPr>
                <w:sz w:val="19"/>
              </w:rPr>
              <w:t>% of total portfolio spend held by this supplier</w:t>
            </w:r>
          </w:p>
        </w:tc>
      </w:tr>
      <w:tr>
        <w:tc>
          <w:tcPr>
            <w:tcW w:type="dxa" w:w="3168"/>
          </w:tcPr>
          <w:p>
            <w:r>
              <w:rPr>
                <w:sz w:val="19"/>
              </w:rPr>
              <w:t>single_source_count</w:t>
            </w:r>
          </w:p>
        </w:tc>
        <w:tc>
          <w:tcPr>
            <w:tcW w:type="dxa" w:w="7200"/>
          </w:tcPr>
          <w:p>
            <w:r>
              <w:rPr>
                <w:sz w:val="19"/>
              </w:rPr>
              <w:t>Materials where this is the only supplier in planning_master</w:t>
            </w:r>
          </w:p>
        </w:tc>
      </w:tr>
      <w:tr>
        <w:tc>
          <w:tcPr>
            <w:tcW w:type="dxa" w:w="3168"/>
          </w:tcPr>
          <w:p>
            <w:r>
              <w:rPr>
                <w:sz w:val="19"/>
              </w:rPr>
              <w:t>single_source_a_count</w:t>
            </w:r>
          </w:p>
        </w:tc>
        <w:tc>
          <w:tcPr>
            <w:tcW w:type="dxa" w:w="7200"/>
          </w:tcPr>
          <w:p>
            <w:r>
              <w:rPr>
                <w:sz w:val="19"/>
              </w:rPr>
              <w:t>Sole-sourced materials with ABC class = 'A' (most critical)</w:t>
            </w:r>
          </w:p>
        </w:tc>
      </w:tr>
      <w:tr>
        <w:tc>
          <w:tcPr>
            <w:tcW w:type="dxa" w:w="3168"/>
          </w:tcPr>
          <w:p>
            <w:r>
              <w:rPr>
                <w:sz w:val="19"/>
              </w:rPr>
              <w:t>lt_mean_weeks</w:t>
            </w:r>
          </w:p>
        </w:tc>
        <w:tc>
          <w:tcPr>
            <w:tcW w:type="dxa" w:w="7200"/>
          </w:tcPr>
          <w:p>
            <w:r>
              <w:rPr>
                <w:sz w:val="19"/>
              </w:rPr>
              <w:t>Average lead time across this supplier's materials</w:t>
            </w:r>
          </w:p>
        </w:tc>
      </w:tr>
      <w:tr>
        <w:tc>
          <w:tcPr>
            <w:tcW w:type="dxa" w:w="3168"/>
          </w:tcPr>
          <w:p>
            <w:r>
              <w:rPr>
                <w:sz w:val="19"/>
              </w:rPr>
              <w:t>lt_std_weeks</w:t>
            </w:r>
          </w:p>
        </w:tc>
        <w:tc>
          <w:tcPr>
            <w:tcW w:type="dxa" w:w="7200"/>
          </w:tcPr>
          <w:p>
            <w:r>
              <w:rPr>
                <w:sz w:val="19"/>
              </w:rPr>
              <w:t>Standard deviation of lead time (delivery inconsistency)</w:t>
            </w:r>
          </w:p>
        </w:tc>
      </w:tr>
      <w:tr>
        <w:tc>
          <w:tcPr>
            <w:tcW w:type="dxa" w:w="3168"/>
          </w:tcPr>
          <w:p>
            <w:r>
              <w:rPr>
                <w:sz w:val="19"/>
              </w:rPr>
              <w:t>risk_score</w:t>
            </w:r>
          </w:p>
        </w:tc>
        <w:tc>
          <w:tcPr>
            <w:tcW w:type="dxa" w:w="7200"/>
          </w:tcPr>
          <w:p>
            <w:r>
              <w:rPr>
                <w:sz w:val="19"/>
              </w:rPr>
              <w:t>Composite 0–100 score (see Section 13)</w:t>
            </w:r>
          </w:p>
        </w:tc>
      </w:tr>
      <w:tr>
        <w:tc>
          <w:tcPr>
            <w:tcW w:type="dxa" w:w="3168"/>
          </w:tcPr>
          <w:p>
            <w:r>
              <w:rPr>
                <w:sz w:val="19"/>
              </w:rPr>
              <w:t>risk_tier</w:t>
            </w:r>
          </w:p>
        </w:tc>
        <w:tc>
          <w:tcPr>
            <w:tcW w:type="dxa" w:w="7200"/>
          </w:tcPr>
          <w:p>
            <w:r>
              <w:rPr>
                <w:sz w:val="19"/>
              </w:rPr>
              <w:t>'Low', 'Medium', 'High', or 'Critical'</w:t>
            </w:r>
          </w:p>
        </w:tc>
      </w:tr>
    </w:tbl>
    <w:p/>
    <w:p>
      <w:pPr>
        <w:spacing w:before="280" w:after="60"/>
      </w:pPr>
      <w:r>
        <w:rPr>
          <w:b/>
          <w:color w:val="F59E0B"/>
          <w:sz w:val="26"/>
        </w:rPr>
        <w:t>3.4  Other Tables &amp; Views</w:t>
      </w:r>
    </w:p>
    <w:tbl>
      <w:tblPr>
        <w:tblStyle w:val="TableGrid"/>
        <w:tblW w:type="auto" w:w="0"/>
        <w:tblLook w:firstColumn="1" w:firstRow="1" w:lastColumn="0" w:lastRow="0" w:noHBand="0" w:noVBand="1" w:val="04A0"/>
      </w:tblPr>
      <w:tblGrid>
        <w:gridCol w:w="3022"/>
        <w:gridCol w:w="3022"/>
        <w:gridCol w:w="3022"/>
      </w:tblGrid>
      <w:tr>
        <w:tc>
          <w:tcPr>
            <w:tcW w:type="dxa" w:w="2880"/>
            <w:shd w:val="clear" w:color="auto" w:fill="0E1623"/>
          </w:tcPr>
          <w:p>
            <w:r>
              <w:rPr>
                <w:b/>
                <w:color w:val="FFFFFF"/>
                <w:sz w:val="19"/>
              </w:rPr>
              <w:t>Object</w:t>
            </w:r>
          </w:p>
        </w:tc>
        <w:tc>
          <w:tcPr>
            <w:tcW w:type="dxa" w:w="1152"/>
            <w:shd w:val="clear" w:color="auto" w:fill="0E1623"/>
          </w:tcPr>
          <w:p>
            <w:r>
              <w:rPr>
                <w:b/>
                <w:color w:val="FFFFFF"/>
                <w:sz w:val="19"/>
              </w:rPr>
              <w:t>Type</w:t>
            </w:r>
          </w:p>
        </w:tc>
        <w:tc>
          <w:tcPr>
            <w:tcW w:type="dxa" w:w="6336"/>
            <w:shd w:val="clear" w:color="auto" w:fill="0E1623"/>
          </w:tcPr>
          <w:p>
            <w:r>
              <w:rPr>
                <w:b/>
                <w:color w:val="FFFFFF"/>
                <w:sz w:val="19"/>
              </w:rPr>
              <w:t>Content</w:t>
            </w:r>
          </w:p>
        </w:tc>
      </w:tr>
      <w:tr>
        <w:tc>
          <w:tcPr>
            <w:tcW w:type="dxa" w:w="2880"/>
          </w:tcPr>
          <w:p>
            <w:r>
              <w:rPr>
                <w:sz w:val="19"/>
              </w:rPr>
              <w:t>supplier_master</w:t>
            </w:r>
          </w:p>
        </w:tc>
        <w:tc>
          <w:tcPr>
            <w:tcW w:type="dxa" w:w="1152"/>
          </w:tcPr>
          <w:p>
            <w:r>
              <w:rPr>
                <w:sz w:val="19"/>
              </w:rPr>
              <w:t>Table</w:t>
            </w:r>
          </w:p>
        </w:tc>
        <w:tc>
          <w:tcPr>
            <w:tcW w:type="dxa" w:w="6336"/>
          </w:tcPr>
          <w:p>
            <w:r>
              <w:rPr>
                <w:sz w:val="19"/>
              </w:rPr>
              <w:t>Supplier-level aggregates (material count, warehouses, order value, avg lead time)</w:t>
            </w:r>
          </w:p>
        </w:tc>
      </w:tr>
      <w:tr>
        <w:tc>
          <w:tcPr>
            <w:tcW w:type="dxa" w:w="2880"/>
          </w:tcPr>
          <w:p>
            <w:r>
              <w:rPr>
                <w:sz w:val="19"/>
              </w:rPr>
              <w:t>tbo_orders</w:t>
            </w:r>
          </w:p>
        </w:tc>
        <w:tc>
          <w:tcPr>
            <w:tcW w:type="dxa" w:w="1152"/>
          </w:tcPr>
          <w:p>
            <w:r>
              <w:rPr>
                <w:sz w:val="19"/>
              </w:rPr>
              <w:t>Table</w:t>
            </w:r>
          </w:p>
        </w:tc>
        <w:tc>
          <w:tcPr>
            <w:tcW w:type="dxa" w:w="6336"/>
          </w:tcPr>
          <w:p>
            <w:r>
              <w:rPr>
                <w:sz w:val="19"/>
              </w:rPr>
              <w:t>Filtered subset of planning_master where tbo_qty &gt; 0</w:t>
            </w:r>
          </w:p>
        </w:tc>
      </w:tr>
      <w:tr>
        <w:tc>
          <w:tcPr>
            <w:tcW w:type="dxa" w:w="2880"/>
          </w:tcPr>
          <w:p>
            <w:r>
              <w:rPr>
                <w:sz w:val="19"/>
              </w:rPr>
              <w:t>pending_orders</w:t>
            </w:r>
          </w:p>
        </w:tc>
        <w:tc>
          <w:tcPr>
            <w:tcW w:type="dxa" w:w="1152"/>
          </w:tcPr>
          <w:p>
            <w:r>
              <w:rPr>
                <w:sz w:val="19"/>
              </w:rPr>
              <w:t>Table</w:t>
            </w:r>
          </w:p>
        </w:tc>
        <w:tc>
          <w:tcPr>
            <w:tcW w:type="dxa" w:w="6336"/>
          </w:tcPr>
          <w:p>
            <w:r>
              <w:rPr>
                <w:sz w:val="19"/>
              </w:rPr>
              <w:t>Filtered subset of planning_master where pending_order_qty &gt; 0</w:t>
            </w:r>
          </w:p>
        </w:tc>
      </w:tr>
      <w:tr>
        <w:tc>
          <w:tcPr>
            <w:tcW w:type="dxa" w:w="2880"/>
          </w:tcPr>
          <w:p>
            <w:r>
              <w:rPr>
                <w:sz w:val="19"/>
              </w:rPr>
              <w:t>stock_by_location</w:t>
            </w:r>
          </w:p>
        </w:tc>
        <w:tc>
          <w:tcPr>
            <w:tcW w:type="dxa" w:w="1152"/>
          </w:tcPr>
          <w:p>
            <w:r>
              <w:rPr>
                <w:sz w:val="19"/>
              </w:rPr>
              <w:t>Table</w:t>
            </w:r>
          </w:p>
        </w:tc>
        <w:tc>
          <w:tcPr>
            <w:tcW w:type="dxa" w:w="6336"/>
          </w:tcPr>
          <w:p>
            <w:r>
              <w:rPr>
                <w:sz w:val="19"/>
              </w:rPr>
              <w:t>One row per material × plant with qty, MUAC, and value</w:t>
            </w:r>
          </w:p>
        </w:tc>
      </w:tr>
      <w:tr>
        <w:tc>
          <w:tcPr>
            <w:tcW w:type="dxa" w:w="2880"/>
          </w:tcPr>
          <w:p>
            <w:r>
              <w:rPr>
                <w:sz w:val="19"/>
              </w:rPr>
              <w:t>v_warehouse_summary</w:t>
            </w:r>
          </w:p>
        </w:tc>
        <w:tc>
          <w:tcPr>
            <w:tcW w:type="dxa" w:w="1152"/>
          </w:tcPr>
          <w:p>
            <w:r>
              <w:rPr>
                <w:sz w:val="19"/>
              </w:rPr>
              <w:t>View</w:t>
            </w:r>
          </w:p>
        </w:tc>
        <w:tc>
          <w:tcPr>
            <w:tcW w:type="dxa" w:w="6336"/>
          </w:tcPr>
          <w:p>
            <w:r>
              <w:rPr>
                <w:sz w:val="19"/>
              </w:rPr>
              <w:t>Per-warehouse KPI rollup: total value, TBO, pending, below-safety count, critical count</w:t>
            </w:r>
          </w:p>
        </w:tc>
      </w:tr>
      <w:tr>
        <w:tc>
          <w:tcPr>
            <w:tcW w:type="dxa" w:w="2880"/>
          </w:tcPr>
          <w:p>
            <w:r>
              <w:rPr>
                <w:sz w:val="19"/>
              </w:rPr>
              <w:t>v_critical_materials</w:t>
            </w:r>
          </w:p>
        </w:tc>
        <w:tc>
          <w:tcPr>
            <w:tcW w:type="dxa" w:w="1152"/>
          </w:tcPr>
          <w:p>
            <w:r>
              <w:rPr>
                <w:sz w:val="19"/>
              </w:rPr>
              <w:t>View</w:t>
            </w:r>
          </w:p>
        </w:tc>
        <w:tc>
          <w:tcPr>
            <w:tcW w:type="dxa" w:w="6336"/>
          </w:tcPr>
          <w:p>
            <w:r>
              <w:rPr>
                <w:sz w:val="19"/>
              </w:rPr>
              <w:t>All planning_master rows where is_critical = 1, sorted by safety_stock_gap ASC</w:t>
            </w:r>
          </w:p>
        </w:tc>
      </w:tr>
    </w:tbl>
    <w:p/>
    <w:p>
      <w:pPr>
        <w:spacing w:before="440" w:after="100"/>
        <w:pBdr>
          <w:bottom w:val="single" w:sz="6" w:space="4" w:color="00B4D8"/>
        </w:pBdr>
      </w:pPr>
      <w:r>
        <w:rPr>
          <w:b/>
          <w:color w:val="00B4D8"/>
          <w:sz w:val="34"/>
        </w:rPr>
        <w:t>4.  ABC Classification  (Pareto / Value Segmentation)</w:t>
      </w:r>
    </w:p>
    <w:p>
      <w:pPr>
        <w:spacing w:before="280" w:after="60"/>
      </w:pPr>
      <w:r>
        <w:rPr>
          <w:b/>
          <w:color w:val="F59E0B"/>
          <w:sz w:val="26"/>
        </w:rPr>
        <w:t>4.1  Theory</w:t>
      </w:r>
    </w:p>
    <w:p>
      <w:pPr>
        <w:spacing w:after="100"/>
      </w:pPr>
      <w:r>
        <w:rPr>
          <w:sz w:val="21"/>
        </w:rPr>
        <w:t>ABC analysis applies the Pareto principle (80-20 rule) to inventory: a small proportion of materials (by count) typically accounts for the majority of inventory value. By segmenting materials into three tiers based on their cumulative share of total stock value, management attention and control effort can be concentrated where it has the greatest financial impact.</w:t>
      </w:r>
    </w:p>
    <w:p>
      <w:pPr>
        <w:spacing w:before="280" w:after="60"/>
      </w:pPr>
      <w:r>
        <w:rPr>
          <w:b/>
          <w:color w:val="F59E0B"/>
          <w:sz w:val="26"/>
        </w:rPr>
        <w:t>4.2  Implementation</w:t>
      </w:r>
    </w:p>
    <w:p>
      <w:pPr>
        <w:spacing w:after="100"/>
      </w:pPr>
      <w:r>
        <w:rPr>
          <w:sz w:val="21"/>
        </w:rPr>
        <w:t>The classification runs on the stock_master table after all plant stock values are summed:</w:t>
      </w:r>
    </w:p>
    <w:p>
      <w:pPr>
        <w:spacing w:before="80" w:after="80"/>
        <w:ind w:left="680"/>
      </w:pPr>
      <w:r>
        <w:rPr>
          <w:rFonts w:ascii="Courier New" w:hAnsi="Courier New"/>
          <w:color w:val="10B981"/>
          <w:sz w:val="20"/>
        </w:rPr>
        <w:t>1.  Sort all materials by total_stock_value  DESCENDING.</w:t>
      </w:r>
    </w:p>
    <w:p>
      <w:pPr>
        <w:spacing w:before="80" w:after="80"/>
        <w:ind w:left="680"/>
      </w:pPr>
      <w:r>
        <w:rPr>
          <w:rFonts w:ascii="Courier New" w:hAnsi="Courier New"/>
          <w:color w:val="10B981"/>
          <w:sz w:val="20"/>
        </w:rPr>
        <w:t>2.  Compute cumulative %:  cum_pct[i] = Σ(value[1..i]) / Σ(value[all]) × 100</w:t>
      </w:r>
    </w:p>
    <w:p>
      <w:pPr>
        <w:spacing w:before="80" w:after="80"/>
        <w:ind w:left="680"/>
      </w:pPr>
      <w:r>
        <w:rPr>
          <w:rFonts w:ascii="Courier New" w:hAnsi="Courier New"/>
          <w:color w:val="10B981"/>
          <w:sz w:val="20"/>
        </w:rPr>
        <w:t>3.  Assign class:  A if cum_pct ≤ 80%  |  B if cum_pct ≤ 95%  |  C otherwise</w:t>
      </w:r>
    </w:p>
    <w:p>
      <w:pPr>
        <w:spacing w:after="80"/>
        <w:ind w:left="567"/>
      </w:pPr>
      <w:r>
        <w:rPr>
          <w:i/>
          <w:color w:val="64748B"/>
          <w:sz w:val="19"/>
        </w:rPr>
        <w:t>Note:  The threshold is applied to the running cumulative total after sorting, not to an individual material's share. This means class A contains exactly the smallest set of materials whose combined value equals 80% of total portfolio value.</w:t>
      </w:r>
    </w:p>
    <w:p>
      <w:pPr>
        <w:spacing w:before="280" w:after="60"/>
      </w:pPr>
      <w:r>
        <w:rPr>
          <w:b/>
          <w:color w:val="F59E0B"/>
          <w:sz w:val="26"/>
        </w:rPr>
        <w:t>4.3  Class Definitions &amp; Implications</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008"/>
            <w:shd w:val="clear" w:color="auto" w:fill="0E1623"/>
          </w:tcPr>
          <w:p>
            <w:r>
              <w:rPr>
                <w:b/>
                <w:color w:val="FFFFFF"/>
                <w:sz w:val="19"/>
              </w:rPr>
              <w:t>Class</w:t>
            </w:r>
          </w:p>
        </w:tc>
        <w:tc>
          <w:tcPr>
            <w:tcW w:type="dxa" w:w="2448"/>
            <w:shd w:val="clear" w:color="auto" w:fill="0E1623"/>
          </w:tcPr>
          <w:p>
            <w:r>
              <w:rPr>
                <w:b/>
                <w:color w:val="FFFFFF"/>
                <w:sz w:val="19"/>
              </w:rPr>
              <w:t>Cumulative Value %</w:t>
            </w:r>
          </w:p>
        </w:tc>
        <w:tc>
          <w:tcPr>
            <w:tcW w:type="dxa" w:w="2448"/>
            <w:shd w:val="clear" w:color="auto" w:fill="0E1623"/>
          </w:tcPr>
          <w:p>
            <w:r>
              <w:rPr>
                <w:b/>
                <w:color w:val="FFFFFF"/>
                <w:sz w:val="19"/>
              </w:rPr>
              <w:t>Typical % of Items</w:t>
            </w:r>
          </w:p>
        </w:tc>
        <w:tc>
          <w:tcPr>
            <w:tcW w:type="dxa" w:w="1728"/>
            <w:shd w:val="clear" w:color="auto" w:fill="0E1623"/>
          </w:tcPr>
          <w:p>
            <w:r>
              <w:rPr>
                <w:b/>
                <w:color w:val="FFFFFF"/>
                <w:sz w:val="19"/>
              </w:rPr>
              <w:t>Control Level</w:t>
            </w:r>
          </w:p>
        </w:tc>
        <w:tc>
          <w:tcPr>
            <w:tcW w:type="dxa" w:w="4176"/>
            <w:shd w:val="clear" w:color="auto" w:fill="0E1623"/>
          </w:tcPr>
          <w:p>
            <w:r>
              <w:rPr>
                <w:b/>
                <w:color w:val="FFFFFF"/>
                <w:sz w:val="19"/>
              </w:rPr>
              <w:t>Typical Action</w:t>
            </w:r>
          </w:p>
        </w:tc>
      </w:tr>
      <w:tr>
        <w:tc>
          <w:tcPr>
            <w:tcW w:type="dxa" w:w="1008"/>
          </w:tcPr>
          <w:p>
            <w:r>
              <w:rPr>
                <w:sz w:val="19"/>
              </w:rPr>
              <w:t>A</w:t>
            </w:r>
          </w:p>
        </w:tc>
        <w:tc>
          <w:tcPr>
            <w:tcW w:type="dxa" w:w="2448"/>
          </w:tcPr>
          <w:p>
            <w:r>
              <w:rPr>
                <w:sz w:val="19"/>
              </w:rPr>
              <w:t>0 – 80%</w:t>
            </w:r>
          </w:p>
        </w:tc>
        <w:tc>
          <w:tcPr>
            <w:tcW w:type="dxa" w:w="2448"/>
          </w:tcPr>
          <w:p>
            <w:r>
              <w:rPr>
                <w:sz w:val="19"/>
              </w:rPr>
              <w:t>≈ 10–20%</w:t>
            </w:r>
          </w:p>
        </w:tc>
        <w:tc>
          <w:tcPr>
            <w:tcW w:type="dxa" w:w="1728"/>
          </w:tcPr>
          <w:p>
            <w:r>
              <w:rPr>
                <w:sz w:val="19"/>
              </w:rPr>
              <w:t>Tight</w:t>
            </w:r>
          </w:p>
        </w:tc>
        <w:tc>
          <w:tcPr>
            <w:tcW w:type="dxa" w:w="4176"/>
          </w:tcPr>
          <w:p>
            <w:r>
              <w:rPr>
                <w:sz w:val="19"/>
              </w:rPr>
              <w:t>Frequent review, low tolerance for stockout, dual sourcing considered</w:t>
            </w:r>
          </w:p>
        </w:tc>
      </w:tr>
      <w:tr>
        <w:tc>
          <w:tcPr>
            <w:tcW w:type="dxa" w:w="1008"/>
          </w:tcPr>
          <w:p>
            <w:r>
              <w:rPr>
                <w:sz w:val="19"/>
              </w:rPr>
              <w:t>B</w:t>
            </w:r>
          </w:p>
        </w:tc>
        <w:tc>
          <w:tcPr>
            <w:tcW w:type="dxa" w:w="2448"/>
          </w:tcPr>
          <w:p>
            <w:r>
              <w:rPr>
                <w:sz w:val="19"/>
              </w:rPr>
              <w:t>80 – 95%</w:t>
            </w:r>
          </w:p>
        </w:tc>
        <w:tc>
          <w:tcPr>
            <w:tcW w:type="dxa" w:w="2448"/>
          </w:tcPr>
          <w:p>
            <w:r>
              <w:rPr>
                <w:sz w:val="19"/>
              </w:rPr>
              <w:t>≈ 20–30%</w:t>
            </w:r>
          </w:p>
        </w:tc>
        <w:tc>
          <w:tcPr>
            <w:tcW w:type="dxa" w:w="1728"/>
          </w:tcPr>
          <w:p>
            <w:r>
              <w:rPr>
                <w:sz w:val="19"/>
              </w:rPr>
              <w:t>Moderate</w:t>
            </w:r>
          </w:p>
        </w:tc>
        <w:tc>
          <w:tcPr>
            <w:tcW w:type="dxa" w:w="4176"/>
          </w:tcPr>
          <w:p>
            <w:r>
              <w:rPr>
                <w:sz w:val="19"/>
              </w:rPr>
              <w:t>Periodic review, standard safety stock targets</w:t>
            </w:r>
          </w:p>
        </w:tc>
      </w:tr>
      <w:tr>
        <w:tc>
          <w:tcPr>
            <w:tcW w:type="dxa" w:w="1008"/>
          </w:tcPr>
          <w:p>
            <w:r>
              <w:rPr>
                <w:sz w:val="19"/>
              </w:rPr>
              <w:t>C</w:t>
            </w:r>
          </w:p>
        </w:tc>
        <w:tc>
          <w:tcPr>
            <w:tcW w:type="dxa" w:w="2448"/>
          </w:tcPr>
          <w:p>
            <w:r>
              <w:rPr>
                <w:sz w:val="19"/>
              </w:rPr>
              <w:t>95 – 100%</w:t>
            </w:r>
          </w:p>
        </w:tc>
        <w:tc>
          <w:tcPr>
            <w:tcW w:type="dxa" w:w="2448"/>
          </w:tcPr>
          <w:p>
            <w:r>
              <w:rPr>
                <w:sz w:val="19"/>
              </w:rPr>
              <w:t>≈ 50–70%</w:t>
            </w:r>
          </w:p>
        </w:tc>
        <w:tc>
          <w:tcPr>
            <w:tcW w:type="dxa" w:w="1728"/>
          </w:tcPr>
          <w:p>
            <w:r>
              <w:rPr>
                <w:sz w:val="19"/>
              </w:rPr>
              <w:t>Loose</w:t>
            </w:r>
          </w:p>
        </w:tc>
        <w:tc>
          <w:tcPr>
            <w:tcW w:type="dxa" w:w="4176"/>
          </w:tcPr>
          <w:p>
            <w:r>
              <w:rPr>
                <w:sz w:val="19"/>
              </w:rPr>
              <w:t>Bulk ordering, wider safety stock bands acceptable, minimal admin</w:t>
            </w:r>
          </w:p>
        </w:tc>
      </w:tr>
    </w:tbl>
    <w:p/>
    <w:p>
      <w:pPr>
        <w:spacing w:before="280" w:after="60"/>
      </w:pPr>
      <w:r>
        <w:rPr>
          <w:b/>
          <w:color w:val="F59E0B"/>
          <w:sz w:val="26"/>
        </w:rPr>
        <w:t>4.4  Business Significance at Bryair Asia</w:t>
      </w:r>
    </w:p>
    <w:p>
      <w:pPr>
        <w:spacing w:after="100"/>
      </w:pPr>
      <w:r>
        <w:rPr>
          <w:sz w:val="21"/>
        </w:rPr>
        <w:t>A-class materials demand the most rigorous procurement discipline: any stockout in this tier represents not just a production stoppage but also the largest financial exposure. The supplier risk model (Section 13) assigns the highest weight to sole-sourcing of A-class materials precisely because of this combined financial and operational criticality.</w:t>
      </w:r>
    </w:p>
    <w:p>
      <w:pPr>
        <w:spacing w:before="440" w:after="100"/>
        <w:pBdr>
          <w:bottom w:val="single" w:sz="6" w:space="4" w:color="00B4D8"/>
        </w:pBdr>
      </w:pPr>
      <w:r>
        <w:rPr>
          <w:b/>
          <w:color w:val="00B4D8"/>
          <w:sz w:val="34"/>
        </w:rPr>
        <w:t>5.  XYZ Classification  (Demand Volatility Segmentation)</w:t>
      </w:r>
    </w:p>
    <w:p>
      <w:pPr>
        <w:spacing w:before="280" w:after="60"/>
      </w:pPr>
      <w:r>
        <w:rPr>
          <w:b/>
          <w:color w:val="F59E0B"/>
          <w:sz w:val="26"/>
        </w:rPr>
        <w:t>5.1  Theory</w:t>
      </w:r>
    </w:p>
    <w:p>
      <w:pPr>
        <w:spacing w:after="100"/>
      </w:pPr>
      <w:r>
        <w:rPr>
          <w:sz w:val="21"/>
        </w:rPr>
        <w:t>While ABC addresses the financial dimension, XYZ addresses predictability. Two materials with identical stock values can have very different demand patterns — one consumed at a steady rate (easy to forecast), the other consumed intermittently (hard to forecast). XYZ classification uses the Coefficient of Variation (CV) of annual consumption to measure this uncertainty.</w:t>
      </w:r>
    </w:p>
    <w:p>
      <w:pPr>
        <w:spacing w:before="280" w:after="60"/>
      </w:pPr>
      <w:r>
        <w:rPr>
          <w:b/>
          <w:color w:val="F59E0B"/>
          <w:sz w:val="26"/>
        </w:rPr>
        <w:t>5.2  Coefficient of Variation</w:t>
      </w:r>
    </w:p>
    <w:p>
      <w:pPr>
        <w:spacing w:before="80" w:after="80"/>
        <w:ind w:left="680"/>
      </w:pPr>
      <w:r>
        <w:rPr>
          <w:rFonts w:ascii="Courier New" w:hAnsi="Courier New"/>
          <w:color w:val="10B981"/>
          <w:sz w:val="20"/>
        </w:rPr>
        <w:t>CV = σ_annual / μ_annual</w:t>
      </w:r>
    </w:p>
    <w:p>
      <w:pPr>
        <w:spacing w:before="80" w:after="80"/>
        <w:ind w:left="680"/>
      </w:pPr>
      <w:r>
        <w:rPr>
          <w:rFonts w:ascii="Courier New" w:hAnsi="Courier New"/>
          <w:color w:val="10B981"/>
          <w:sz w:val="20"/>
        </w:rPr>
        <w:t>where:</w:t>
      </w:r>
    </w:p>
    <w:p>
      <w:pPr>
        <w:spacing w:before="80" w:after="80"/>
        <w:ind w:left="680"/>
      </w:pPr>
      <w:r>
        <w:rPr>
          <w:rFonts w:ascii="Courier New" w:hAnsi="Courier New"/>
          <w:color w:val="10B981"/>
          <w:sz w:val="20"/>
        </w:rPr>
        <w:t xml:space="preserve">  μ_annual = mean of (fy_2022_23, fy_2023_24, fy_2024_25)</w:t>
      </w:r>
    </w:p>
    <w:p>
      <w:pPr>
        <w:spacing w:before="80" w:after="80"/>
        <w:ind w:left="680"/>
      </w:pPr>
      <w:r>
        <w:rPr>
          <w:rFonts w:ascii="Courier New" w:hAnsi="Courier New"/>
          <w:color w:val="10B981"/>
          <w:sz w:val="20"/>
        </w:rPr>
        <w:t xml:space="preserve">  σ_annual = standard deviation of the same three values</w:t>
      </w:r>
    </w:p>
    <w:p>
      <w:pPr>
        <w:spacing w:after="100"/>
      </w:pPr>
      <w:r>
        <w:rPr>
          <w:sz w:val="21"/>
        </w:rPr>
        <w:t>CV is dimensionless and scale-independent, which makes it the correct measure for comparing volatility across materials with vastly different consumption volumes. A CV of 0.30 means the annual demand fluctuates ±30% around its mean — regardless of whether that mean is 50 units or 5,000 units.</w:t>
      </w:r>
    </w:p>
    <w:p>
      <w:pPr>
        <w:spacing w:before="280" w:after="60"/>
      </w:pPr>
      <w:r>
        <w:rPr>
          <w:b/>
          <w:color w:val="F59E0B"/>
          <w:sz w:val="26"/>
        </w:rPr>
        <w:t>5.3  Class Thresholds</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008"/>
            <w:shd w:val="clear" w:color="auto" w:fill="0E1623"/>
          </w:tcPr>
          <w:p>
            <w:r>
              <w:rPr>
                <w:b/>
                <w:color w:val="FFFFFF"/>
                <w:sz w:val="19"/>
              </w:rPr>
              <w:t>Class</w:t>
            </w:r>
          </w:p>
        </w:tc>
        <w:tc>
          <w:tcPr>
            <w:tcW w:type="dxa" w:w="2160"/>
            <w:shd w:val="clear" w:color="auto" w:fill="0E1623"/>
          </w:tcPr>
          <w:p>
            <w:r>
              <w:rPr>
                <w:b/>
                <w:color w:val="FFFFFF"/>
                <w:sz w:val="19"/>
              </w:rPr>
              <w:t>CV Range</w:t>
            </w:r>
          </w:p>
        </w:tc>
        <w:tc>
          <w:tcPr>
            <w:tcW w:type="dxa" w:w="3312"/>
            <w:shd w:val="clear" w:color="auto" w:fill="0E1623"/>
          </w:tcPr>
          <w:p>
            <w:r>
              <w:rPr>
                <w:b/>
                <w:color w:val="FFFFFF"/>
                <w:sz w:val="19"/>
              </w:rPr>
              <w:t>Interpretation</w:t>
            </w:r>
          </w:p>
        </w:tc>
        <w:tc>
          <w:tcPr>
            <w:tcW w:type="dxa" w:w="2016"/>
            <w:shd w:val="clear" w:color="auto" w:fill="0E1623"/>
          </w:tcPr>
          <w:p>
            <w:r>
              <w:rPr>
                <w:b/>
                <w:color w:val="FFFFFF"/>
                <w:sz w:val="19"/>
              </w:rPr>
              <w:t>Forecast Reliability</w:t>
            </w:r>
          </w:p>
        </w:tc>
        <w:tc>
          <w:tcPr>
            <w:tcW w:type="dxa" w:w="3312"/>
            <w:shd w:val="clear" w:color="auto" w:fill="0E1623"/>
          </w:tcPr>
          <w:p>
            <w:r>
              <w:rPr>
                <w:b/>
                <w:color w:val="FFFFFF"/>
                <w:sz w:val="19"/>
              </w:rPr>
              <w:t>Stocking Strategy</w:t>
            </w:r>
          </w:p>
        </w:tc>
      </w:tr>
      <w:tr>
        <w:tc>
          <w:tcPr>
            <w:tcW w:type="dxa" w:w="1008"/>
          </w:tcPr>
          <w:p>
            <w:r>
              <w:rPr>
                <w:sz w:val="19"/>
              </w:rPr>
              <w:t>X</w:t>
            </w:r>
          </w:p>
        </w:tc>
        <w:tc>
          <w:tcPr>
            <w:tcW w:type="dxa" w:w="2160"/>
          </w:tcPr>
          <w:p>
            <w:r>
              <w:rPr>
                <w:sz w:val="19"/>
              </w:rPr>
              <w:t>CV &lt; 0.25</w:t>
            </w:r>
          </w:p>
        </w:tc>
        <w:tc>
          <w:tcPr>
            <w:tcW w:type="dxa" w:w="3312"/>
          </w:tcPr>
          <w:p>
            <w:r>
              <w:rPr>
                <w:sz w:val="19"/>
              </w:rPr>
              <w:t>Stable, predictable demand</w:t>
            </w:r>
          </w:p>
        </w:tc>
        <w:tc>
          <w:tcPr>
            <w:tcW w:type="dxa" w:w="2016"/>
          </w:tcPr>
          <w:p>
            <w:r>
              <w:rPr>
                <w:sz w:val="19"/>
              </w:rPr>
              <w:t>High</w:t>
            </w:r>
          </w:p>
        </w:tc>
        <w:tc>
          <w:tcPr>
            <w:tcW w:type="dxa" w:w="3312"/>
          </w:tcPr>
          <w:p>
            <w:r>
              <w:rPr>
                <w:sz w:val="19"/>
              </w:rPr>
              <w:t>JIT or lean safety stock; tight replenishment cycles</w:t>
            </w:r>
          </w:p>
        </w:tc>
      </w:tr>
      <w:tr>
        <w:tc>
          <w:tcPr>
            <w:tcW w:type="dxa" w:w="1008"/>
          </w:tcPr>
          <w:p>
            <w:r>
              <w:rPr>
                <w:sz w:val="19"/>
              </w:rPr>
              <w:t>Y</w:t>
            </w:r>
          </w:p>
        </w:tc>
        <w:tc>
          <w:tcPr>
            <w:tcW w:type="dxa" w:w="2160"/>
          </w:tcPr>
          <w:p>
            <w:r>
              <w:rPr>
                <w:sz w:val="19"/>
              </w:rPr>
              <w:t>0.25 ≤ CV &lt; 0.50</w:t>
            </w:r>
          </w:p>
        </w:tc>
        <w:tc>
          <w:tcPr>
            <w:tcW w:type="dxa" w:w="3312"/>
          </w:tcPr>
          <w:p>
            <w:r>
              <w:rPr>
                <w:sz w:val="19"/>
              </w:rPr>
              <w:t>Moderate variability</w:t>
            </w:r>
          </w:p>
        </w:tc>
        <w:tc>
          <w:tcPr>
            <w:tcW w:type="dxa" w:w="2016"/>
          </w:tcPr>
          <w:p>
            <w:r>
              <w:rPr>
                <w:sz w:val="19"/>
              </w:rPr>
              <w:t>Medium</w:t>
            </w:r>
          </w:p>
        </w:tc>
        <w:tc>
          <w:tcPr>
            <w:tcW w:type="dxa" w:w="3312"/>
          </w:tcPr>
          <w:p>
            <w:r>
              <w:rPr>
                <w:sz w:val="19"/>
              </w:rPr>
              <w:t>Statistical safety stock; periodic review</w:t>
            </w:r>
          </w:p>
        </w:tc>
      </w:tr>
      <w:tr>
        <w:tc>
          <w:tcPr>
            <w:tcW w:type="dxa" w:w="1008"/>
          </w:tcPr>
          <w:p>
            <w:r>
              <w:rPr>
                <w:sz w:val="19"/>
              </w:rPr>
              <w:t>Z</w:t>
            </w:r>
          </w:p>
        </w:tc>
        <w:tc>
          <w:tcPr>
            <w:tcW w:type="dxa" w:w="2160"/>
          </w:tcPr>
          <w:p>
            <w:r>
              <w:rPr>
                <w:sz w:val="19"/>
              </w:rPr>
              <w:t>CV ≥ 0.50</w:t>
            </w:r>
          </w:p>
        </w:tc>
        <w:tc>
          <w:tcPr>
            <w:tcW w:type="dxa" w:w="3312"/>
          </w:tcPr>
          <w:p>
            <w:r>
              <w:rPr>
                <w:sz w:val="19"/>
              </w:rPr>
              <w:t>Highly volatile / intermittent</w:t>
            </w:r>
          </w:p>
        </w:tc>
        <w:tc>
          <w:tcPr>
            <w:tcW w:type="dxa" w:w="2016"/>
          </w:tcPr>
          <w:p>
            <w:r>
              <w:rPr>
                <w:sz w:val="19"/>
              </w:rPr>
              <w:t>Low</w:t>
            </w:r>
          </w:p>
        </w:tc>
        <w:tc>
          <w:tcPr>
            <w:tcW w:type="dxa" w:w="3312"/>
          </w:tcPr>
          <w:p>
            <w:r>
              <w:rPr>
                <w:sz w:val="19"/>
              </w:rPr>
              <w:t>Higher buffer or Kanban; demand review before ordering</w:t>
            </w:r>
          </w:p>
        </w:tc>
      </w:tr>
    </w:tbl>
    <w:p/>
    <w:p>
      <w:pPr>
        <w:spacing w:after="80"/>
        <w:ind w:left="567"/>
      </w:pPr>
      <w:r>
        <w:rPr>
          <w:i/>
          <w:color w:val="64748B"/>
          <w:sz w:val="19"/>
        </w:rPr>
        <w:t>Note:  With only 3 annual data points, CV estimates carry statistical uncertainty. The system flags Z-class items in the UI and in AI responses as 'directional recommendations only'. Materials with zero mean (no consumption in any year) receive CV = 0 but should be reviewed as potential obsolescence candidates.</w:t>
      </w:r>
    </w:p>
    <w:p>
      <w:pPr>
        <w:spacing w:before="440" w:after="100"/>
        <w:pBdr>
          <w:bottom w:val="single" w:sz="6" w:space="4" w:color="00B4D8"/>
        </w:pBdr>
      </w:pPr>
      <w:r>
        <w:rPr>
          <w:b/>
          <w:color w:val="00B4D8"/>
          <w:sz w:val="34"/>
        </w:rPr>
        <w:t>6.  ABC–XYZ Matrix:  Strategic Stocking Policy</w:t>
      </w:r>
    </w:p>
    <w:p>
      <w:pPr>
        <w:spacing w:after="100"/>
      </w:pPr>
      <w:r>
        <w:rPr>
          <w:sz w:val="21"/>
        </w:rPr>
        <w:t>Combining ABC (value) and XYZ (volatility) produces a 3×3 matrix with nine distinct procurement profiles. Each cell prescribes a different inventory management strategy. The system embeds this matrix in the AI agent's knowledge base so that recommendations are consistent with standard inventory theory.</w:t>
      </w:r>
    </w:p>
    <w:tbl>
      <w:tblPr>
        <w:tblStyle w:val="TableGrid"/>
        <w:tblW w:type="auto" w:w="0"/>
        <w:tblLook w:firstColumn="1" w:firstRow="1" w:lastColumn="0" w:lastRow="0" w:noHBand="0" w:noVBand="1" w:val="04A0"/>
      </w:tblPr>
      <w:tblGrid>
        <w:gridCol w:w="2266"/>
        <w:gridCol w:w="2266"/>
        <w:gridCol w:w="2266"/>
        <w:gridCol w:w="2266"/>
      </w:tblGrid>
      <w:tr>
        <w:tc>
          <w:tcPr>
            <w:tcW w:type="dxa" w:w="1584"/>
            <w:shd w:val="clear" w:color="auto" w:fill="0E1623"/>
          </w:tcPr>
          <w:p>
            <w:r>
              <w:rPr>
                <w:b/>
                <w:color w:val="FFFFFF"/>
                <w:sz w:val="19"/>
              </w:rPr>
            </w:r>
          </w:p>
        </w:tc>
        <w:tc>
          <w:tcPr>
            <w:tcW w:type="dxa" w:w="3456"/>
            <w:shd w:val="clear" w:color="auto" w:fill="0E1623"/>
          </w:tcPr>
          <w:p>
            <w:r>
              <w:rPr>
                <w:b/>
                <w:color w:val="FFFFFF"/>
                <w:sz w:val="19"/>
              </w:rPr>
              <w:t>X  (Stable)</w:t>
            </w:r>
          </w:p>
        </w:tc>
        <w:tc>
          <w:tcPr>
            <w:tcW w:type="dxa" w:w="3456"/>
            <w:shd w:val="clear" w:color="auto" w:fill="0E1623"/>
          </w:tcPr>
          <w:p>
            <w:r>
              <w:rPr>
                <w:b/>
                <w:color w:val="FFFFFF"/>
                <w:sz w:val="19"/>
              </w:rPr>
              <w:t>Y  (Moderate)</w:t>
            </w:r>
          </w:p>
        </w:tc>
        <w:tc>
          <w:tcPr>
            <w:tcW w:type="dxa" w:w="3456"/>
            <w:shd w:val="clear" w:color="auto" w:fill="0E1623"/>
          </w:tcPr>
          <w:p>
            <w:r>
              <w:rPr>
                <w:b/>
                <w:color w:val="FFFFFF"/>
                <w:sz w:val="19"/>
              </w:rPr>
              <w:t>Z  (Volatile)</w:t>
            </w:r>
          </w:p>
        </w:tc>
      </w:tr>
      <w:tr>
        <w:tc>
          <w:tcPr>
            <w:tcW w:type="dxa" w:w="1584"/>
          </w:tcPr>
          <w:p>
            <w:r>
              <w:rPr>
                <w:sz w:val="19"/>
              </w:rPr>
              <w:t>A  (High Value)</w:t>
            </w:r>
          </w:p>
        </w:tc>
        <w:tc>
          <w:tcPr>
            <w:tcW w:type="dxa" w:w="3456"/>
          </w:tcPr>
          <w:p>
            <w:r>
              <w:rPr>
                <w:sz w:val="19"/>
              </w:rPr>
              <w:t>AX — JIT / Kanban. 2-3 weeks SS. Frequent small orders. Strict monitoring.</w:t>
            </w:r>
          </w:p>
        </w:tc>
        <w:tc>
          <w:tcPr>
            <w:tcW w:type="dxa" w:w="3456"/>
          </w:tcPr>
          <w:p>
            <w:r>
              <w:rPr>
                <w:sz w:val="19"/>
              </w:rPr>
              <w:t>AY — Statistical SS (98% SL). Dual sourcing. Weekly review.</w:t>
            </w:r>
          </w:p>
        </w:tc>
        <w:tc>
          <w:tcPr>
            <w:tcW w:type="dxa" w:w="3456"/>
          </w:tcPr>
          <w:p>
            <w:r>
              <w:rPr>
                <w:sz w:val="19"/>
              </w:rPr>
              <w:t>AZ — High buffer. Dual/multiple sourcing essential. Monthly demand review.</w:t>
            </w:r>
          </w:p>
        </w:tc>
      </w:tr>
      <w:tr>
        <w:tc>
          <w:tcPr>
            <w:tcW w:type="dxa" w:w="1584"/>
          </w:tcPr>
          <w:p>
            <w:r>
              <w:rPr>
                <w:sz w:val="19"/>
              </w:rPr>
              <w:t>B  (Mid Value)</w:t>
            </w:r>
          </w:p>
        </w:tc>
        <w:tc>
          <w:tcPr>
            <w:tcW w:type="dxa" w:w="3456"/>
          </w:tcPr>
          <w:p>
            <w:r>
              <w:rPr>
                <w:sz w:val="19"/>
              </w:rPr>
              <w:t>BX — EOQ-based ordering. 3-4 weeks SS. Bi-weekly review.</w:t>
            </w:r>
          </w:p>
        </w:tc>
        <w:tc>
          <w:tcPr>
            <w:tcW w:type="dxa" w:w="3456"/>
          </w:tcPr>
          <w:p>
            <w:r>
              <w:rPr>
                <w:sz w:val="19"/>
              </w:rPr>
              <w:t>BY — Standard SS (95% SL). Periodic review.</w:t>
            </w:r>
          </w:p>
        </w:tc>
        <w:tc>
          <w:tcPr>
            <w:tcW w:type="dxa" w:w="3456"/>
          </w:tcPr>
          <w:p>
            <w:r>
              <w:rPr>
                <w:sz w:val="19"/>
              </w:rPr>
              <w:t>BZ — Conservative buffer. Supplier dialogue on lead time reduction.</w:t>
            </w:r>
          </w:p>
        </w:tc>
      </w:tr>
      <w:tr>
        <w:tc>
          <w:tcPr>
            <w:tcW w:type="dxa" w:w="1584"/>
          </w:tcPr>
          <w:p>
            <w:r>
              <w:rPr>
                <w:sz w:val="19"/>
              </w:rPr>
              <w:t>C  (Low Value)</w:t>
            </w:r>
          </w:p>
        </w:tc>
        <w:tc>
          <w:tcPr>
            <w:tcW w:type="dxa" w:w="3456"/>
          </w:tcPr>
          <w:p>
            <w:r>
              <w:rPr>
                <w:sz w:val="19"/>
              </w:rPr>
              <w:t>CX — Bulk orders. 8-12 weeks SS. Minimal admin. Periodic review.</w:t>
            </w:r>
          </w:p>
        </w:tc>
        <w:tc>
          <w:tcPr>
            <w:tcW w:type="dxa" w:w="3456"/>
          </w:tcPr>
          <w:p>
            <w:r>
              <w:rPr>
                <w:sz w:val="19"/>
              </w:rPr>
              <w:t>CY — Flexible SS. Consolidated orders with other C items.</w:t>
            </w:r>
          </w:p>
        </w:tc>
        <w:tc>
          <w:tcPr>
            <w:tcW w:type="dxa" w:w="3456"/>
          </w:tcPr>
          <w:p>
            <w:r>
              <w:rPr>
                <w:sz w:val="19"/>
              </w:rPr>
              <w:t>CZ — Accept higher stock. Min-max replenishment. Lowest admin priority.</w:t>
            </w:r>
          </w:p>
        </w:tc>
      </w:tr>
    </w:tbl>
    <w:p/>
    <w:p>
      <w:pPr>
        <w:spacing w:after="80"/>
        <w:ind w:left="567"/>
      </w:pPr>
      <w:r>
        <w:rPr>
          <w:i/>
          <w:color w:val="64748B"/>
          <w:sz w:val="19"/>
        </w:rPr>
        <w:t>Note:  The safety stock formulas in Section 12 give the quantitative SS for a given service level. The matrix above provides the qualitative policy framing — e.g., AX items should be reviewed most frequently even if their SS quantity is small.</w:t>
      </w:r>
    </w:p>
    <w:p>
      <w:pPr>
        <w:spacing w:before="440" w:after="100"/>
        <w:pBdr>
          <w:bottom w:val="single" w:sz="6" w:space="4" w:color="00B4D8"/>
        </w:pBdr>
      </w:pPr>
      <w:r>
        <w:rPr>
          <w:b/>
          <w:color w:val="00B4D8"/>
          <w:sz w:val="34"/>
        </w:rPr>
        <w:t>7.  TBO  (To Be Ordered)  Calculation</w:t>
      </w:r>
    </w:p>
    <w:p>
      <w:pPr>
        <w:spacing w:before="280" w:after="60"/>
      </w:pPr>
      <w:r>
        <w:rPr>
          <w:b/>
          <w:color w:val="F59E0B"/>
          <w:sz w:val="26"/>
        </w:rPr>
        <w:t>7.1  Basic TBO (Planning Sheet Formula)</w:t>
      </w:r>
    </w:p>
    <w:p>
      <w:pPr>
        <w:spacing w:after="100"/>
      </w:pPr>
      <w:r>
        <w:rPr>
          <w:sz w:val="21"/>
        </w:rPr>
        <w:t>The planning sheets (P9 and 21C) record a TBO column computed directly in Excel using the following logic:</w:t>
      </w:r>
    </w:p>
    <w:p>
      <w:pPr>
        <w:spacing w:before="80" w:after="80"/>
        <w:ind w:left="680"/>
      </w:pPr>
      <w:r>
        <w:rPr>
          <w:rFonts w:ascii="Courier New" w:hAnsi="Courier New"/>
          <w:color w:val="10B981"/>
          <w:sz w:val="20"/>
        </w:rPr>
        <w:t>TBO = Safety Stock − (Current Stock + Pending Orders − Allocations)</w:t>
      </w:r>
    </w:p>
    <w:p>
      <w:pPr>
        <w:spacing w:before="80" w:after="80"/>
        <w:ind w:left="680"/>
      </w:pPr>
      <w:r>
        <w:rPr>
          <w:rFonts w:ascii="Courier New" w:hAnsi="Courier New"/>
          <w:color w:val="10B981"/>
          <w:sz w:val="20"/>
        </w:rPr>
        <w:t xml:space="preserve">    = Safety Stock − Available Inventory</w:t>
      </w:r>
    </w:p>
    <w:p>
      <w:pPr>
        <w:spacing w:after="100"/>
      </w:pPr>
      <w:r>
        <w:rPr>
          <w:sz w:val="21"/>
        </w:rPr>
        <w:t>If the result is ≤ 0, no order is needed (available inventory already covers the safety stock requirement). If positive, TBO represents the quantity that must be ordered to bring available inventory up to the safety stock target.</w:t>
      </w:r>
    </w:p>
    <w:p>
      <w:pPr>
        <w:spacing w:after="100"/>
      </w:pPr>
      <w:r>
        <w:rPr>
          <w:sz w:val="21"/>
        </w:rPr>
        <w:t>This is a conservative, safety-stock-centric formula: it does not factor in lead time explicitly. Its primary purpose is to close the gap between current availability and the established safety stock buffer.</w:t>
      </w:r>
    </w:p>
    <w:p>
      <w:pPr>
        <w:spacing w:before="280" w:after="60"/>
      </w:pPr>
      <w:r>
        <w:rPr>
          <w:b/>
          <w:color w:val="F59E0B"/>
          <w:sz w:val="26"/>
        </w:rPr>
        <w:t>7.2  Enhanced TBO — Reorder Point Method (System Calculation)</w:t>
      </w:r>
    </w:p>
    <w:p>
      <w:pPr>
        <w:spacing w:after="100"/>
      </w:pPr>
      <w:r>
        <w:rPr>
          <w:sz w:val="21"/>
        </w:rPr>
        <w:t>For materials that have both a historical lead time and an annual consumption figure, the system computes a more accurate tbo_enhanced value using the Reorder Point (ROP) method:</w:t>
      </w:r>
    </w:p>
    <w:p>
      <w:pPr>
        <w:spacing w:before="80" w:after="80"/>
        <w:ind w:left="680"/>
      </w:pPr>
      <w:r>
        <w:rPr>
          <w:rFonts w:ascii="Courier New" w:hAnsi="Courier New"/>
          <w:color w:val="10B981"/>
          <w:sz w:val="20"/>
        </w:rPr>
        <w:t>Step 1 — Available Inventory:</w:t>
      </w:r>
    </w:p>
    <w:p>
      <w:pPr>
        <w:spacing w:before="80" w:after="80"/>
        <w:ind w:left="680"/>
      </w:pPr>
      <w:r>
        <w:rPr>
          <w:rFonts w:ascii="Courier New" w:hAnsi="Courier New"/>
          <w:color w:val="10B981"/>
          <w:sz w:val="20"/>
        </w:rPr>
        <w:t xml:space="preserve">  Available = Current Stock + Pending Orders − Allocations</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Step 2 — Daily Demand:</w:t>
      </w:r>
    </w:p>
    <w:p>
      <w:pPr>
        <w:spacing w:before="80" w:after="80"/>
        <w:ind w:left="680"/>
      </w:pPr>
      <w:r>
        <w:rPr>
          <w:rFonts w:ascii="Courier New" w:hAnsi="Courier New"/>
          <w:color w:val="10B981"/>
          <w:sz w:val="20"/>
        </w:rPr>
        <w:t xml:space="preserve">  Daily = Annual Consumption / 365</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Step 3 — Reorder Point (ROP):</w:t>
      </w:r>
    </w:p>
    <w:p>
      <w:pPr>
        <w:spacing w:before="80" w:after="80"/>
        <w:ind w:left="680"/>
      </w:pPr>
      <w:r>
        <w:rPr>
          <w:rFonts w:ascii="Courier New" w:hAnsi="Courier New"/>
          <w:color w:val="10B981"/>
          <w:sz w:val="20"/>
        </w:rPr>
        <w:t xml:space="preserve">  ROP = (Lead Time [days] × Daily Demand) + Safety Stock</w:t>
      </w:r>
    </w:p>
    <w:p>
      <w:pPr>
        <w:spacing w:before="80" w:after="80"/>
        <w:ind w:left="680"/>
      </w:pPr>
      <w:r>
        <w:rPr>
          <w:rFonts w:ascii="Courier New" w:hAnsi="Courier New"/>
          <w:color w:val="10B981"/>
          <w:sz w:val="20"/>
        </w:rPr>
        <w:t xml:space="preserve">      = (Lead Time [weeks] × 7 × Daily Demand) + Safety Stock</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Step 4 — Shortage / Surplus:</w:t>
      </w:r>
    </w:p>
    <w:p>
      <w:pPr>
        <w:spacing w:before="80" w:after="80"/>
        <w:ind w:left="680"/>
      </w:pPr>
      <w:r>
        <w:rPr>
          <w:rFonts w:ascii="Courier New" w:hAnsi="Courier New"/>
          <w:color w:val="10B981"/>
          <w:sz w:val="20"/>
        </w:rPr>
        <w:t xml:space="preserve">  Shortage = ROP − Available</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Step 5 — TBO (rounded up to nearest 10 units):</w:t>
      </w:r>
    </w:p>
    <w:p>
      <w:pPr>
        <w:spacing w:before="80" w:after="80"/>
        <w:ind w:left="680"/>
      </w:pPr>
      <w:r>
        <w:rPr>
          <w:rFonts w:ascii="Courier New" w:hAnsi="Courier New"/>
          <w:color w:val="10B981"/>
          <w:sz w:val="20"/>
        </w:rPr>
        <w:t xml:space="preserve">  TBO_enhanced = max(0, ceil(Shortage / 10) × 10)</w:t>
      </w:r>
    </w:p>
    <w:p>
      <w:pPr>
        <w:spacing w:after="80"/>
        <w:ind w:left="567"/>
      </w:pPr>
      <w:r>
        <w:rPr>
          <w:i/>
          <w:color w:val="64748B"/>
          <w:sz w:val="19"/>
        </w:rPr>
        <w:t>Note:  The ROP formula accounts for the demand that will be consumed during the procurement lead time — a critical consideration for long-lead-time items. Without it, a material may appear to have enough stock today but be in shortage by the time the next order arrives.</w:t>
      </w:r>
    </w:p>
    <w:p>
      <w:pPr>
        <w:spacing w:before="280" w:after="60"/>
      </w:pPr>
      <w:r>
        <w:rPr>
          <w:b/>
          <w:color w:val="F59E0B"/>
          <w:sz w:val="26"/>
        </w:rPr>
        <w:t>7.3  TBO Priority Classification</w:t>
      </w:r>
    </w:p>
    <w:p>
      <w:pPr>
        <w:spacing w:after="100"/>
      </w:pPr>
      <w:r>
        <w:rPr>
          <w:sz w:val="21"/>
        </w:rPr>
        <w:t>Each material with a positive tbo_enhanced is assigned a priority:</w:t>
      </w:r>
    </w:p>
    <w:tbl>
      <w:tblPr>
        <w:tblStyle w:val="TableGrid"/>
        <w:tblW w:type="auto" w:w="0"/>
        <w:tblLook w:firstColumn="1" w:firstRow="1" w:lastColumn="0" w:lastRow="0" w:noHBand="0" w:noVBand="1" w:val="04A0"/>
      </w:tblPr>
      <w:tblGrid>
        <w:gridCol w:w="3022"/>
        <w:gridCol w:w="3022"/>
        <w:gridCol w:w="3022"/>
      </w:tblGrid>
      <w:tr>
        <w:tc>
          <w:tcPr>
            <w:tcW w:type="dxa" w:w="1296"/>
            <w:shd w:val="clear" w:color="auto" w:fill="0E1623"/>
          </w:tcPr>
          <w:p>
            <w:r>
              <w:rPr>
                <w:b/>
                <w:color w:val="FFFFFF"/>
                <w:sz w:val="19"/>
              </w:rPr>
              <w:t>Priority</w:t>
            </w:r>
          </w:p>
        </w:tc>
        <w:tc>
          <w:tcPr>
            <w:tcW w:type="dxa" w:w="4032"/>
            <w:shd w:val="clear" w:color="auto" w:fill="0E1623"/>
          </w:tcPr>
          <w:p>
            <w:r>
              <w:rPr>
                <w:b/>
                <w:color w:val="FFFFFF"/>
                <w:sz w:val="19"/>
              </w:rPr>
              <w:t>Condition</w:t>
            </w:r>
          </w:p>
        </w:tc>
        <w:tc>
          <w:tcPr>
            <w:tcW w:type="dxa" w:w="5040"/>
            <w:shd w:val="clear" w:color="auto" w:fill="0E1623"/>
          </w:tcPr>
          <w:p>
            <w:r>
              <w:rPr>
                <w:b/>
                <w:color w:val="FFFFFF"/>
                <w:sz w:val="19"/>
              </w:rPr>
              <w:t>Interpretation</w:t>
            </w:r>
          </w:p>
        </w:tc>
      </w:tr>
      <w:tr>
        <w:tc>
          <w:tcPr>
            <w:tcW w:type="dxa" w:w="1296"/>
          </w:tcPr>
          <w:p>
            <w:r>
              <w:rPr>
                <w:sz w:val="19"/>
              </w:rPr>
              <w:t>High</w:t>
            </w:r>
          </w:p>
        </w:tc>
        <w:tc>
          <w:tcPr>
            <w:tcW w:type="dxa" w:w="4032"/>
          </w:tcPr>
          <w:p>
            <w:r>
              <w:rPr>
                <w:sz w:val="19"/>
              </w:rPr>
              <w:t>Shortage &gt; Safety Stock</w:t>
            </w:r>
          </w:p>
        </w:tc>
        <w:tc>
          <w:tcPr>
            <w:tcW w:type="dxa" w:w="5040"/>
          </w:tcPr>
          <w:p>
            <w:r>
              <w:rPr>
                <w:sz w:val="19"/>
              </w:rPr>
              <w:t>Immediate order required; delay risks production stoppage</w:t>
            </w:r>
          </w:p>
        </w:tc>
      </w:tr>
      <w:tr>
        <w:tc>
          <w:tcPr>
            <w:tcW w:type="dxa" w:w="1296"/>
          </w:tcPr>
          <w:p>
            <w:r>
              <w:rPr>
                <w:sz w:val="19"/>
              </w:rPr>
              <w:t>Medium</w:t>
            </w:r>
          </w:p>
        </w:tc>
        <w:tc>
          <w:tcPr>
            <w:tcW w:type="dxa" w:w="4032"/>
          </w:tcPr>
          <w:p>
            <w:r>
              <w:rPr>
                <w:sz w:val="19"/>
              </w:rPr>
              <w:t>Safety Stock × 0.5 &lt; Shortage ≤ Safety Stock</w:t>
            </w:r>
          </w:p>
        </w:tc>
        <w:tc>
          <w:tcPr>
            <w:tcW w:type="dxa" w:w="5040"/>
          </w:tcPr>
          <w:p>
            <w:r>
              <w:rPr>
                <w:sz w:val="19"/>
              </w:rPr>
              <w:t>Order within the planning cycle</w:t>
            </w:r>
          </w:p>
        </w:tc>
      </w:tr>
      <w:tr>
        <w:tc>
          <w:tcPr>
            <w:tcW w:type="dxa" w:w="1296"/>
          </w:tcPr>
          <w:p>
            <w:r>
              <w:rPr>
                <w:sz w:val="19"/>
              </w:rPr>
              <w:t>Low</w:t>
            </w:r>
          </w:p>
        </w:tc>
        <w:tc>
          <w:tcPr>
            <w:tcW w:type="dxa" w:w="4032"/>
          </w:tcPr>
          <w:p>
            <w:r>
              <w:rPr>
                <w:sz w:val="19"/>
              </w:rPr>
              <w:t>Shortage ≤ Safety Stock × 0.5</w:t>
            </w:r>
          </w:p>
        </w:tc>
        <w:tc>
          <w:tcPr>
            <w:tcW w:type="dxa" w:w="5040"/>
          </w:tcPr>
          <w:p>
            <w:r>
              <w:rPr>
                <w:sz w:val="19"/>
              </w:rPr>
              <w:t>Order in next routine purchasing run</w:t>
            </w:r>
          </w:p>
        </w:tc>
      </w:tr>
    </w:tbl>
    <w:p/>
    <w:p>
      <w:pPr>
        <w:spacing w:before="280" w:after="60"/>
      </w:pPr>
      <w:r>
        <w:rPr>
          <w:b/>
          <w:color w:val="F59E0B"/>
          <w:sz w:val="26"/>
        </w:rPr>
        <w:t>7.4  TBO vs. order_amount</w:t>
      </w:r>
    </w:p>
    <w:p>
      <w:pPr>
        <w:spacing w:after="100"/>
      </w:pPr>
      <w:r>
        <w:rPr>
          <w:sz w:val="21"/>
        </w:rPr>
        <w:t>order_amount (in planning_master) = tbo_qty × unit_price. This is the financial commitment of placing the order. The dashboard shows TBO value by supplier to enable consolidation decisions — combining multiple small orders to the same supplier can negotiate better pricing or reduce freight costs.</w:t>
      </w:r>
    </w:p>
    <w:p>
      <w:pPr>
        <w:spacing w:before="440" w:after="100"/>
        <w:pBdr>
          <w:bottom w:val="single" w:sz="6" w:space="4" w:color="00B4D8"/>
        </w:pBdr>
      </w:pPr>
      <w:r>
        <w:rPr>
          <w:b/>
          <w:color w:val="00B4D8"/>
          <w:sz w:val="34"/>
        </w:rPr>
        <w:t>8.  Reorder Point (ROP) Logic</w:t>
      </w:r>
    </w:p>
    <w:p>
      <w:pPr>
        <w:spacing w:before="280" w:after="60"/>
      </w:pPr>
      <w:r>
        <w:rPr>
          <w:b/>
          <w:color w:val="F59E0B"/>
          <w:sz w:val="26"/>
        </w:rPr>
        <w:t>8.1  Concept</w:t>
      </w:r>
    </w:p>
    <w:p>
      <w:pPr>
        <w:spacing w:after="100"/>
      </w:pPr>
      <w:r>
        <w:rPr>
          <w:sz w:val="21"/>
        </w:rPr>
        <w:t>The Reorder Point is the inventory level at which a replenishment order must be triggered to avoid a stockout, given that the new stock will not arrive until the lead time has elapsed. Setting ROP correctly is the core challenge of continuous-review inventory management.</w:t>
      </w:r>
    </w:p>
    <w:p>
      <w:pPr>
        <w:spacing w:before="280" w:after="60"/>
      </w:pPr>
      <w:r>
        <w:rPr>
          <w:b/>
          <w:color w:val="F59E0B"/>
          <w:sz w:val="26"/>
        </w:rPr>
        <w:t>8.2  ROP Formula</w:t>
      </w:r>
    </w:p>
    <w:p>
      <w:pPr>
        <w:spacing w:before="80" w:after="80"/>
        <w:ind w:left="680"/>
      </w:pPr>
      <w:r>
        <w:rPr>
          <w:rFonts w:ascii="Courier New" w:hAnsi="Courier New"/>
          <w:color w:val="10B981"/>
          <w:sz w:val="20"/>
        </w:rPr>
        <w:t>ROP = (Average Daily Demand × Lead Time in Days) + Safety Stock</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Expanded:</w:t>
      </w:r>
    </w:p>
    <w:p>
      <w:pPr>
        <w:spacing w:before="80" w:after="80"/>
        <w:ind w:left="680"/>
      </w:pPr>
      <w:r>
        <w:rPr>
          <w:rFonts w:ascii="Courier New" w:hAnsi="Courier New"/>
          <w:color w:val="10B981"/>
          <w:sz w:val="20"/>
        </w:rPr>
        <w:t xml:space="preserve">  Demand during Lead Time (DLT) = avg_daily_consumption × lead_time_days</w:t>
      </w:r>
    </w:p>
    <w:p>
      <w:pPr>
        <w:spacing w:before="80" w:after="80"/>
        <w:ind w:left="680"/>
      </w:pPr>
      <w:r>
        <w:rPr>
          <w:rFonts w:ascii="Courier New" w:hAnsi="Courier New"/>
          <w:color w:val="10B981"/>
          <w:sz w:val="20"/>
        </w:rPr>
        <w:t xml:space="preserve">  ROP = DLT + safety_stock_hist</w:t>
      </w:r>
    </w:p>
    <w:p>
      <w:pPr>
        <w:spacing w:after="100"/>
      </w:pPr>
      <w:r>
        <w:rPr>
          <w:sz w:val="21"/>
        </w:rPr>
        <w:t>The DLT term covers expected consumption while the order is in transit. The safety stock term provides a buffer against variability in both demand and lead time (see Section 10 for the statistical derivation of safety stock).</w:t>
      </w:r>
    </w:p>
    <w:p>
      <w:pPr>
        <w:spacing w:before="280" w:after="60"/>
      </w:pPr>
      <w:r>
        <w:rPr>
          <w:b/>
          <w:color w:val="F59E0B"/>
          <w:sz w:val="26"/>
        </w:rPr>
        <w:t>8.3  Stock Status Flags</w:t>
      </w:r>
    </w:p>
    <w:p>
      <w:pPr>
        <w:spacing w:before="80" w:after="80"/>
        <w:ind w:left="680"/>
      </w:pPr>
      <w:r>
        <w:rPr>
          <w:rFonts w:ascii="Courier New" w:hAnsi="Courier New"/>
          <w:color w:val="10B981"/>
          <w:sz w:val="20"/>
        </w:rPr>
        <w:t xml:space="preserve">  Below ROP:  total_stock_qty &lt; ROP               → Order now</w:t>
      </w:r>
    </w:p>
    <w:p>
      <w:pPr>
        <w:spacing w:before="80" w:after="80"/>
        <w:ind w:left="680"/>
      </w:pPr>
      <w:r>
        <w:rPr>
          <w:rFonts w:ascii="Courier New" w:hAnsi="Courier New"/>
          <w:color w:val="10B981"/>
          <w:sz w:val="20"/>
        </w:rPr>
        <w:t xml:space="preserve">  Near ROP:   ROP ≤ total_stock_qty &lt; ROP + SS    → Order soon</w:t>
      </w:r>
    </w:p>
    <w:p>
      <w:pPr>
        <w:spacing w:before="80" w:after="80"/>
        <w:ind w:left="680"/>
      </w:pPr>
      <w:r>
        <w:rPr>
          <w:rFonts w:ascii="Courier New" w:hAnsi="Courier New"/>
          <w:color w:val="10B981"/>
          <w:sz w:val="20"/>
        </w:rPr>
        <w:t xml:space="preserve">  Above ROP:  total_stock_qty ≥ ROP + SS          → No action needed</w:t>
      </w:r>
    </w:p>
    <w:p>
      <w:pPr>
        <w:spacing w:before="280" w:after="60"/>
      </w:pPr>
      <w:r>
        <w:rPr>
          <w:b/>
          <w:color w:val="F59E0B"/>
          <w:sz w:val="26"/>
        </w:rPr>
        <w:t>8.4  Excess Stock Calculation</w:t>
      </w:r>
    </w:p>
    <w:p>
      <w:pPr>
        <w:spacing w:before="80" w:after="80"/>
        <w:ind w:left="680"/>
      </w:pPr>
      <w:r>
        <w:rPr>
          <w:rFonts w:ascii="Courier New" w:hAnsi="Courier New"/>
          <w:color w:val="10B981"/>
          <w:sz w:val="20"/>
        </w:rPr>
        <w:t>Optimal Level = ROP + Safety Stock</w:t>
      </w:r>
    </w:p>
    <w:p>
      <w:pPr>
        <w:spacing w:before="80" w:after="80"/>
        <w:ind w:left="680"/>
      </w:pPr>
      <w:r>
        <w:rPr>
          <w:rFonts w:ascii="Courier New" w:hAnsi="Courier New"/>
          <w:color w:val="10B981"/>
          <w:sz w:val="20"/>
        </w:rPr>
        <w:t>Excess Qty   = max(0, total_stock_qty − Optimal Level)</w:t>
      </w:r>
    </w:p>
    <w:p>
      <w:pPr>
        <w:spacing w:before="80" w:after="80"/>
        <w:ind w:left="680"/>
      </w:pPr>
      <w:r>
        <w:rPr>
          <w:rFonts w:ascii="Courier New" w:hAnsi="Courier New"/>
          <w:color w:val="10B981"/>
          <w:sz w:val="20"/>
        </w:rPr>
        <w:t>Excess Value = Excess Qty × avg_muac_rate</w:t>
      </w:r>
    </w:p>
    <w:p>
      <w:pPr>
        <w:spacing w:after="100"/>
      </w:pPr>
      <w:r>
        <w:rPr>
          <w:sz w:val="21"/>
        </w:rPr>
        <w:t>Excess value represents trapped working capital — inventory held above the theoretically optimal level. It should be drawn down before new orders are placed for that material.</w:t>
      </w:r>
    </w:p>
    <w:p>
      <w:pPr>
        <w:spacing w:before="440" w:after="100"/>
        <w:pBdr>
          <w:bottom w:val="single" w:sz="6" w:space="4" w:color="00B4D8"/>
        </w:pBdr>
      </w:pPr>
      <w:r>
        <w:rPr>
          <w:b/>
          <w:color w:val="00B4D8"/>
          <w:sz w:val="34"/>
        </w:rPr>
        <w:t>9.  Criticality Flag  (is_critical)</w:t>
      </w:r>
    </w:p>
    <w:p>
      <w:pPr>
        <w:spacing w:before="280" w:after="60"/>
      </w:pPr>
      <w:r>
        <w:rPr>
          <w:b/>
          <w:color w:val="F59E0B"/>
          <w:sz w:val="26"/>
        </w:rPr>
        <w:t>9.1  Definition</w:t>
      </w:r>
    </w:p>
    <w:p>
      <w:pPr>
        <w:spacing w:after="100"/>
      </w:pPr>
      <w:r>
        <w:rPr>
          <w:sz w:val="21"/>
        </w:rPr>
        <w:t>A material is marked critical (is_critical = 1) when both of the following conditions are simultaneously true:</w:t>
      </w:r>
    </w:p>
    <w:p>
      <w:pPr>
        <w:spacing w:before="80" w:after="80"/>
        <w:ind w:left="680"/>
      </w:pPr>
      <w:r>
        <w:rPr>
          <w:rFonts w:ascii="Courier New" w:hAnsi="Courier New"/>
          <w:color w:val="10B981"/>
          <w:sz w:val="20"/>
        </w:rPr>
        <w:t>Condition 1:  safety_stock_gap &lt; 0</w:t>
      </w:r>
    </w:p>
    <w:p>
      <w:pPr>
        <w:spacing w:before="80" w:after="80"/>
        <w:ind w:left="680"/>
      </w:pPr>
      <w:r>
        <w:rPr>
          <w:rFonts w:ascii="Courier New" w:hAnsi="Courier New"/>
          <w:color w:val="10B981"/>
          <w:sz w:val="20"/>
        </w:rPr>
        <w:t xml:space="preserve">  → Available inventory (stock + pending − allocation) is below safety stock target.</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Condition 2:  tbo_qty IS NULL  OR  tbo_qty = 0</w:t>
      </w:r>
    </w:p>
    <w:p>
      <w:pPr>
        <w:spacing w:before="80" w:after="80"/>
        <w:ind w:left="680"/>
      </w:pPr>
      <w:r>
        <w:rPr>
          <w:rFonts w:ascii="Courier New" w:hAnsi="Courier New"/>
          <w:color w:val="10B981"/>
          <w:sz w:val="20"/>
        </w:rPr>
        <w:t xml:space="preserve">  → No purchase order quantity has been recorded in the planning sheet.</w:t>
      </w:r>
    </w:p>
    <w:p>
      <w:pPr>
        <w:spacing w:before="280" w:after="60"/>
      </w:pPr>
      <w:r>
        <w:rPr>
          <w:b/>
          <w:color w:val="F59E0B"/>
          <w:sz w:val="26"/>
        </w:rPr>
        <w:t>9.2  Why Both Conditions Matter</w:t>
      </w:r>
    </w:p>
    <w:p>
      <w:pPr>
        <w:spacing w:after="100"/>
      </w:pPr>
      <w:r>
        <w:rPr>
          <w:sz w:val="21"/>
        </w:rPr>
        <w:t>Condition 1 alone (below safety stock) is not sufficient to flag a crisis — the shortfall may already be covered by a purchase order in the pipeline. Condition 2 identifies the cases where the shortfall exists AND no corrective action has been initiated. These are the true production-stoppage risks.</w:t>
      </w:r>
    </w:p>
    <w:p>
      <w:pPr>
        <w:spacing w:after="80"/>
        <w:ind w:left="567"/>
      </w:pPr>
      <w:r>
        <w:rPr>
          <w:i/>
          <w:color w:val="64748B"/>
          <w:sz w:val="19"/>
        </w:rPr>
        <w:t>Note:  A material below safety stock with a pending order already placed is visible in the 'Below Safety' metric but is NOT flagged as critical. The procurement team should still monitor its delivery timeline.</w:t>
      </w:r>
    </w:p>
    <w:p>
      <w:pPr>
        <w:spacing w:before="280" w:after="60"/>
      </w:pPr>
      <w:r>
        <w:rPr>
          <w:b/>
          <w:color w:val="F59E0B"/>
          <w:sz w:val="26"/>
        </w:rPr>
        <w:t>9.3  Dashboard Treatment</w:t>
      </w:r>
    </w:p>
    <w:p>
      <w:pPr>
        <w:spacing w:after="100"/>
      </w:pPr>
      <w:r>
        <w:rPr>
          <w:sz w:val="21"/>
        </w:rPr>
        <w:t>Critical materials appear in the 🚨 Critical tab of the Optimization Hub, sorted by safety_stock_gap ascending (largest shortfall first). They also feed the Critical stat card on the Overview dashboard and the sidebar snapshot. The AI agent's draft_pr tool is the recommended action path — it generates a structured purchase requisition for download and ERP submission.</w:t>
      </w:r>
    </w:p>
    <w:p>
      <w:pPr>
        <w:spacing w:before="440" w:after="100"/>
        <w:pBdr>
          <w:bottom w:val="single" w:sz="6" w:space="4" w:color="00B4D8"/>
        </w:pBdr>
      </w:pPr>
      <w:r>
        <w:rPr>
          <w:b/>
          <w:color w:val="00B4D8"/>
          <w:sz w:val="34"/>
        </w:rPr>
        <w:t>10.  Safety Stock — Theory &amp; Formulas</w:t>
      </w:r>
    </w:p>
    <w:p>
      <w:pPr>
        <w:spacing w:before="280" w:after="60"/>
      </w:pPr>
      <w:r>
        <w:rPr>
          <w:b/>
          <w:color w:val="F59E0B"/>
          <w:sz w:val="26"/>
        </w:rPr>
        <w:t>10.1  Purpose of Safety Stock</w:t>
      </w:r>
    </w:p>
    <w:p>
      <w:pPr>
        <w:spacing w:after="100"/>
      </w:pPr>
      <w:r>
        <w:rPr>
          <w:sz w:val="21"/>
        </w:rPr>
        <w:t>Safety stock (SS) is a buffer inventory held above the expected demand during lead time, designed to protect against two sources of uncertainty: (a) demand variability — actual consumption deviating from the forecast, and (b) lead time variability — supplier delivery arriving earlier or later than expected. Without SS, even a small positive deviation in demand or a small delay in supply triggers a stockout.</w:t>
      </w:r>
    </w:p>
    <w:p>
      <w:pPr>
        <w:spacing w:before="280" w:after="60"/>
      </w:pPr>
      <w:r>
        <w:rPr>
          <w:b/>
          <w:color w:val="F59E0B"/>
          <w:sz w:val="26"/>
        </w:rPr>
        <w:t>10.2  Service Level &amp; the Normal Distribution Assumption</w:t>
      </w:r>
    </w:p>
    <w:p>
      <w:pPr>
        <w:spacing w:after="100"/>
      </w:pPr>
      <w:r>
        <w:rPr>
          <w:sz w:val="21"/>
        </w:rPr>
        <w:t>The system uses a continuous-review, cycle-service-level model. Under the assumption that daily demand is normally distributed, the probability of NOT experiencing a stockout during any given lead-time period is:</w:t>
      </w:r>
    </w:p>
    <w:p>
      <w:pPr>
        <w:spacing w:before="80" w:after="80"/>
        <w:ind w:left="680"/>
      </w:pPr>
      <w:r>
        <w:rPr>
          <w:rFonts w:ascii="Courier New" w:hAnsi="Courier New"/>
          <w:color w:val="10B981"/>
          <w:sz w:val="20"/>
        </w:rPr>
        <w:t>P(no stockout during LT) = Φ(z)</w:t>
      </w:r>
    </w:p>
    <w:p>
      <w:pPr>
        <w:spacing w:before="80" w:after="80"/>
        <w:ind w:left="680"/>
      </w:pPr>
      <w:r>
        <w:rPr>
          <w:rFonts w:ascii="Courier New" w:hAnsi="Courier New"/>
          <w:color w:val="10B981"/>
          <w:sz w:val="20"/>
        </w:rPr>
        <w:t>where Φ is the standard normal CDF and z is the service-level z-score.</w:t>
      </w:r>
    </w:p>
    <w:tbl>
      <w:tblPr>
        <w:tblStyle w:val="TableGrid"/>
        <w:tblW w:type="auto" w:w="0"/>
        <w:tblLook w:firstColumn="1" w:firstRow="1" w:lastColumn="0" w:lastRow="0" w:noHBand="0" w:noVBand="1" w:val="04A0"/>
      </w:tblPr>
      <w:tblGrid>
        <w:gridCol w:w="3022"/>
        <w:gridCol w:w="3022"/>
        <w:gridCol w:w="3022"/>
      </w:tblGrid>
      <w:tr>
        <w:tc>
          <w:tcPr>
            <w:tcW w:type="dxa" w:w="2592"/>
            <w:shd w:val="clear" w:color="auto" w:fill="0E1623"/>
          </w:tcPr>
          <w:p>
            <w:r>
              <w:rPr>
                <w:b/>
                <w:color w:val="FFFFFF"/>
                <w:sz w:val="19"/>
              </w:rPr>
              <w:t>Service Level (α)</w:t>
            </w:r>
          </w:p>
        </w:tc>
        <w:tc>
          <w:tcPr>
            <w:tcW w:type="dxa" w:w="1728"/>
            <w:shd w:val="clear" w:color="auto" w:fill="0E1623"/>
          </w:tcPr>
          <w:p>
            <w:r>
              <w:rPr>
                <w:b/>
                <w:color w:val="FFFFFF"/>
                <w:sz w:val="19"/>
              </w:rPr>
              <w:t>z-score</w:t>
            </w:r>
          </w:p>
        </w:tc>
        <w:tc>
          <w:tcPr>
            <w:tcW w:type="dxa" w:w="6048"/>
            <w:shd w:val="clear" w:color="auto" w:fill="0E1623"/>
          </w:tcPr>
          <w:p>
            <w:r>
              <w:rPr>
                <w:b/>
                <w:color w:val="FFFFFF"/>
                <w:sz w:val="19"/>
              </w:rPr>
              <w:t>Interpretation</w:t>
            </w:r>
          </w:p>
        </w:tc>
      </w:tr>
      <w:tr>
        <w:tc>
          <w:tcPr>
            <w:tcW w:type="dxa" w:w="2592"/>
          </w:tcPr>
          <w:p>
            <w:r>
              <w:rPr>
                <w:sz w:val="19"/>
              </w:rPr>
              <w:t>95%</w:t>
            </w:r>
          </w:p>
        </w:tc>
        <w:tc>
          <w:tcPr>
            <w:tcW w:type="dxa" w:w="1728"/>
          </w:tcPr>
          <w:p>
            <w:r>
              <w:rPr>
                <w:sz w:val="19"/>
              </w:rPr>
              <w:t>1.645</w:t>
            </w:r>
          </w:p>
        </w:tc>
        <w:tc>
          <w:tcPr>
            <w:tcW w:type="dxa" w:w="6048"/>
          </w:tcPr>
          <w:p>
            <w:r>
              <w:rPr>
                <w:sz w:val="19"/>
              </w:rPr>
              <w:t>1 in 20 replenishment cycles may have a stockout</w:t>
            </w:r>
          </w:p>
        </w:tc>
      </w:tr>
      <w:tr>
        <w:tc>
          <w:tcPr>
            <w:tcW w:type="dxa" w:w="2592"/>
          </w:tcPr>
          <w:p>
            <w:r>
              <w:rPr>
                <w:sz w:val="19"/>
              </w:rPr>
              <w:t>98%</w:t>
            </w:r>
          </w:p>
        </w:tc>
        <w:tc>
          <w:tcPr>
            <w:tcW w:type="dxa" w:w="1728"/>
          </w:tcPr>
          <w:p>
            <w:r>
              <w:rPr>
                <w:sz w:val="19"/>
              </w:rPr>
              <w:t>2.054</w:t>
            </w:r>
          </w:p>
        </w:tc>
        <w:tc>
          <w:tcPr>
            <w:tcW w:type="dxa" w:w="6048"/>
          </w:tcPr>
          <w:p>
            <w:r>
              <w:rPr>
                <w:sz w:val="19"/>
              </w:rPr>
              <w:t>1 in 50 cycles may have a stockout</w:t>
            </w:r>
          </w:p>
        </w:tc>
      </w:tr>
      <w:tr>
        <w:tc>
          <w:tcPr>
            <w:tcW w:type="dxa" w:w="2592"/>
          </w:tcPr>
          <w:p>
            <w:r>
              <w:rPr>
                <w:sz w:val="19"/>
              </w:rPr>
              <w:t>99%</w:t>
            </w:r>
          </w:p>
        </w:tc>
        <w:tc>
          <w:tcPr>
            <w:tcW w:type="dxa" w:w="1728"/>
          </w:tcPr>
          <w:p>
            <w:r>
              <w:rPr>
                <w:sz w:val="19"/>
              </w:rPr>
              <w:t>2.326</w:t>
            </w:r>
          </w:p>
        </w:tc>
        <w:tc>
          <w:tcPr>
            <w:tcW w:type="dxa" w:w="6048"/>
          </w:tcPr>
          <w:p>
            <w:r>
              <w:rPr>
                <w:sz w:val="19"/>
              </w:rPr>
              <w:t>1 in 100 cycles may have a stockout</w:t>
            </w:r>
          </w:p>
        </w:tc>
      </w:tr>
    </w:tbl>
    <w:p/>
    <w:p>
      <w:pPr>
        <w:spacing w:before="280" w:after="60"/>
      </w:pPr>
      <w:r>
        <w:rPr>
          <w:b/>
          <w:color w:val="F59E0B"/>
          <w:sz w:val="26"/>
        </w:rPr>
        <w:t>10.3  Optimal Safety Stock Formula</w:t>
      </w:r>
    </w:p>
    <w:p>
      <w:pPr>
        <w:spacing w:after="100"/>
      </w:pPr>
      <w:r>
        <w:rPr>
          <w:sz w:val="21"/>
        </w:rPr>
        <w:t>The system implements the standard continuous-review safety stock formula:</w:t>
      </w:r>
    </w:p>
    <w:p>
      <w:pPr>
        <w:spacing w:before="80" w:after="80"/>
        <w:ind w:left="680"/>
      </w:pPr>
      <w:r>
        <w:rPr>
          <w:rFonts w:ascii="Courier New" w:hAnsi="Courier New"/>
          <w:color w:val="10B981"/>
          <w:sz w:val="20"/>
        </w:rPr>
        <w:t>SS* = z(α) × σ_demand_during_LT</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where:</w:t>
      </w:r>
    </w:p>
    <w:p>
      <w:pPr>
        <w:spacing w:before="80" w:after="80"/>
        <w:ind w:left="680"/>
      </w:pPr>
      <w:r>
        <w:rPr>
          <w:rFonts w:ascii="Courier New" w:hAnsi="Courier New"/>
          <w:color w:val="10B981"/>
          <w:sz w:val="20"/>
        </w:rPr>
        <w:t xml:space="preserve">  σ_demand_during_LT = σ_annual × sqrt(LT_days / 365)</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and:</w:t>
      </w:r>
    </w:p>
    <w:p>
      <w:pPr>
        <w:spacing w:before="80" w:after="80"/>
        <w:ind w:left="680"/>
      </w:pPr>
      <w:r>
        <w:rPr>
          <w:rFonts w:ascii="Courier New" w:hAnsi="Courier New"/>
          <w:color w:val="10B981"/>
          <w:sz w:val="20"/>
        </w:rPr>
        <w:t xml:space="preserve">  σ_annual = avg_annual_consumption × consumption_volatility (CV)</w:t>
      </w:r>
    </w:p>
    <w:p>
      <w:pPr>
        <w:spacing w:before="80" w:after="80"/>
        <w:ind w:left="680"/>
      </w:pPr>
      <w:r>
        <w:rPr>
          <w:rFonts w:ascii="Courier New" w:hAnsi="Courier New"/>
          <w:color w:val="10B981"/>
          <w:sz w:val="20"/>
        </w:rPr>
        <w:t xml:space="preserve">           = μ_annual × CV</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Therefore:</w:t>
      </w:r>
    </w:p>
    <w:p>
      <w:pPr>
        <w:spacing w:before="80" w:after="80"/>
        <w:ind w:left="680"/>
      </w:pPr>
      <w:r>
        <w:rPr>
          <w:rFonts w:ascii="Courier New" w:hAnsi="Courier New"/>
          <w:color w:val="10B981"/>
          <w:sz w:val="20"/>
        </w:rPr>
        <w:t xml:space="preserve">  SS* = z(α) × μ_annual × CV × sqrt(LT_days / 365)</w:t>
      </w:r>
    </w:p>
    <w:p>
      <w:pPr>
        <w:spacing w:before="280" w:after="60"/>
      </w:pPr>
      <w:r>
        <w:rPr>
          <w:b/>
          <w:color w:val="F59E0B"/>
          <w:sz w:val="26"/>
        </w:rPr>
        <w:t>10.4  Interpretation of the Formula's Components</w:t>
      </w:r>
    </w:p>
    <w:tbl>
      <w:tblPr>
        <w:tblStyle w:val="TableGrid"/>
        <w:tblW w:type="auto" w:w="0"/>
        <w:tblLook w:firstColumn="1" w:firstRow="1" w:lastColumn="0" w:lastRow="0" w:noHBand="0" w:noVBand="1" w:val="04A0"/>
      </w:tblPr>
      <w:tblGrid>
        <w:gridCol w:w="3022"/>
        <w:gridCol w:w="3022"/>
        <w:gridCol w:w="3022"/>
      </w:tblGrid>
      <w:tr>
        <w:tc>
          <w:tcPr>
            <w:tcW w:type="dxa" w:w="2880"/>
            <w:shd w:val="clear" w:color="auto" w:fill="0E1623"/>
          </w:tcPr>
          <w:p>
            <w:r>
              <w:rPr>
                <w:b/>
                <w:color w:val="FFFFFF"/>
                <w:sz w:val="19"/>
              </w:rPr>
              <w:t>Component</w:t>
            </w:r>
          </w:p>
        </w:tc>
        <w:tc>
          <w:tcPr>
            <w:tcW w:type="dxa" w:w="2592"/>
            <w:shd w:val="clear" w:color="auto" w:fill="0E1623"/>
          </w:tcPr>
          <w:p>
            <w:r>
              <w:rPr>
                <w:b/>
                <w:color w:val="FFFFFF"/>
                <w:sz w:val="19"/>
              </w:rPr>
              <w:t>Variable</w:t>
            </w:r>
          </w:p>
        </w:tc>
        <w:tc>
          <w:tcPr>
            <w:tcW w:type="dxa" w:w="4896"/>
            <w:shd w:val="clear" w:color="auto" w:fill="0E1623"/>
          </w:tcPr>
          <w:p>
            <w:r>
              <w:rPr>
                <w:b/>
                <w:color w:val="FFFFFF"/>
                <w:sz w:val="19"/>
              </w:rPr>
              <w:t>Effect on SS</w:t>
            </w:r>
          </w:p>
        </w:tc>
      </w:tr>
      <w:tr>
        <w:tc>
          <w:tcPr>
            <w:tcW w:type="dxa" w:w="2880"/>
          </w:tcPr>
          <w:p>
            <w:r>
              <w:rPr>
                <w:sz w:val="19"/>
              </w:rPr>
              <w:t>Service level z-score</w:t>
            </w:r>
          </w:p>
        </w:tc>
        <w:tc>
          <w:tcPr>
            <w:tcW w:type="dxa" w:w="2592"/>
          </w:tcPr>
          <w:p>
            <w:r>
              <w:rPr>
                <w:sz w:val="19"/>
              </w:rPr>
              <w:t>z(α)</w:t>
            </w:r>
          </w:p>
        </w:tc>
        <w:tc>
          <w:tcPr>
            <w:tcW w:type="dxa" w:w="4896"/>
          </w:tcPr>
          <w:p>
            <w:r>
              <w:rPr>
                <w:sz w:val="19"/>
              </w:rPr>
              <w:t>Higher target → more SS</w:t>
            </w:r>
          </w:p>
        </w:tc>
      </w:tr>
      <w:tr>
        <w:tc>
          <w:tcPr>
            <w:tcW w:type="dxa" w:w="2880"/>
          </w:tcPr>
          <w:p>
            <w:r>
              <w:rPr>
                <w:sz w:val="19"/>
              </w:rPr>
              <w:t>Annual demand</w:t>
            </w:r>
          </w:p>
        </w:tc>
        <w:tc>
          <w:tcPr>
            <w:tcW w:type="dxa" w:w="2592"/>
          </w:tcPr>
          <w:p>
            <w:r>
              <w:rPr>
                <w:sz w:val="19"/>
              </w:rPr>
              <w:t>μ_annual</w:t>
            </w:r>
          </w:p>
        </w:tc>
        <w:tc>
          <w:tcPr>
            <w:tcW w:type="dxa" w:w="4896"/>
          </w:tcPr>
          <w:p>
            <w:r>
              <w:rPr>
                <w:sz w:val="19"/>
              </w:rPr>
              <w:t>Higher volume → proportionally more SS</w:t>
            </w:r>
          </w:p>
        </w:tc>
      </w:tr>
      <w:tr>
        <w:tc>
          <w:tcPr>
            <w:tcW w:type="dxa" w:w="2880"/>
          </w:tcPr>
          <w:p>
            <w:r>
              <w:rPr>
                <w:sz w:val="19"/>
              </w:rPr>
              <w:t>Demand variability (CV)</w:t>
            </w:r>
          </w:p>
        </w:tc>
        <w:tc>
          <w:tcPr>
            <w:tcW w:type="dxa" w:w="2592"/>
          </w:tcPr>
          <w:p>
            <w:r>
              <w:rPr>
                <w:sz w:val="19"/>
              </w:rPr>
              <w:t>CV = σ/μ</w:t>
            </w:r>
          </w:p>
        </w:tc>
        <w:tc>
          <w:tcPr>
            <w:tcW w:type="dxa" w:w="4896"/>
          </w:tcPr>
          <w:p>
            <w:r>
              <w:rPr>
                <w:sz w:val="19"/>
              </w:rPr>
              <w:t>Higher volatility → more SS (Z-class items)</w:t>
            </w:r>
          </w:p>
        </w:tc>
      </w:tr>
      <w:tr>
        <w:tc>
          <w:tcPr>
            <w:tcW w:type="dxa" w:w="2880"/>
          </w:tcPr>
          <w:p>
            <w:r>
              <w:rPr>
                <w:sz w:val="19"/>
              </w:rPr>
              <w:t>Lead time</w:t>
            </w:r>
          </w:p>
        </w:tc>
        <w:tc>
          <w:tcPr>
            <w:tcW w:type="dxa" w:w="2592"/>
          </w:tcPr>
          <w:p>
            <w:r>
              <w:rPr>
                <w:sz w:val="19"/>
              </w:rPr>
              <w:t>sqrt(LT_days/365)</w:t>
            </w:r>
          </w:p>
        </w:tc>
        <w:tc>
          <w:tcPr>
            <w:tcW w:type="dxa" w:w="4896"/>
          </w:tcPr>
          <w:p>
            <w:r>
              <w:rPr>
                <w:sz w:val="19"/>
              </w:rPr>
              <w:t>Longer lead time → more SS (square-root law)</w:t>
            </w:r>
          </w:p>
        </w:tc>
      </w:tr>
    </w:tbl>
    <w:p/>
    <w:p>
      <w:pPr>
        <w:spacing w:after="80"/>
        <w:ind w:left="567"/>
      </w:pPr>
      <w:r>
        <w:rPr>
          <w:i/>
          <w:color w:val="64748B"/>
          <w:sz w:val="19"/>
        </w:rPr>
        <w:t>Note:  The square-root law for lead time means doubling the lead time increases SS by only 41% (√2 ≈ 1.41), not 100%. This is because demand variations tend to partially offset each other over longer periods — a day of high demand followed by a day of low demand averages out.</w:t>
      </w:r>
    </w:p>
    <w:p>
      <w:pPr>
        <w:spacing w:before="280" w:after="60"/>
      </w:pPr>
      <w:r>
        <w:rPr>
          <w:b/>
          <w:color w:val="F59E0B"/>
          <w:sz w:val="26"/>
        </w:rPr>
        <w:t>10.5  Conditions for Computing Optimal SS</w:t>
      </w:r>
    </w:p>
    <w:p>
      <w:pPr>
        <w:spacing w:after="100"/>
      </w:pPr>
      <w:r>
        <w:rPr>
          <w:sz w:val="21"/>
        </w:rPr>
        <w:t>A material must satisfy all three of the following to receive an optimal SS recommendation:</w:t>
      </w:r>
    </w:p>
    <w:p>
      <w:pPr>
        <w:spacing w:before="80" w:after="80"/>
        <w:ind w:left="680"/>
      </w:pPr>
      <w:r>
        <w:rPr>
          <w:rFonts w:ascii="Courier New" w:hAnsi="Courier New"/>
          <w:color w:val="10B981"/>
          <w:sz w:val="20"/>
        </w:rPr>
        <w:t xml:space="preserve">  1.  sigma_annual &gt; 0  (at least some consumption history and non-zero CV)</w:t>
      </w:r>
    </w:p>
    <w:p>
      <w:pPr>
        <w:spacing w:before="80" w:after="80"/>
        <w:ind w:left="680"/>
      </w:pPr>
      <w:r>
        <w:rPr>
          <w:rFonts w:ascii="Courier New" w:hAnsi="Courier New"/>
          <w:color w:val="10B981"/>
          <w:sz w:val="20"/>
        </w:rPr>
        <w:t xml:space="preserve">  2.  lead_time_days &gt; 0  (lead time must be known)</w:t>
      </w:r>
    </w:p>
    <w:p>
      <w:pPr>
        <w:spacing w:before="80" w:after="80"/>
        <w:ind w:left="680"/>
      </w:pPr>
      <w:r>
        <w:rPr>
          <w:rFonts w:ascii="Courier New" w:hAnsi="Courier New"/>
          <w:color w:val="10B981"/>
          <w:sz w:val="20"/>
        </w:rPr>
        <w:t xml:space="preserve">  3.  All three FY columns must not be entirely null</w:t>
      </w:r>
    </w:p>
    <w:p>
      <w:pPr>
        <w:spacing w:after="100"/>
      </w:pPr>
      <w:r>
        <w:rPr>
          <w:sz w:val="21"/>
        </w:rPr>
        <w:t>If any condition is unmet, the optimal SS columns are left as NULL. The Forecast &amp; SS page displays only materials where all three conditions are met, currently the 21C MRP items that have both consumption history and lead times.</w:t>
      </w:r>
    </w:p>
    <w:p>
      <w:pPr>
        <w:spacing w:before="280" w:after="60"/>
      </w:pPr>
      <w:r>
        <w:rPr>
          <w:b/>
          <w:color w:val="F59E0B"/>
          <w:sz w:val="26"/>
        </w:rPr>
        <w:t>10.6  Historical SS vs. Optimal SS</w:t>
      </w:r>
    </w:p>
    <w:p>
      <w:pPr>
        <w:spacing w:after="100"/>
      </w:pPr>
      <w:r>
        <w:rPr>
          <w:sz w:val="21"/>
        </w:rPr>
        <w:t>safety_stock_hist is the SS currently set in the ERP / MRP planning sheet — determined by planners, often using rule-of-thumb coverage days. The optimal SS is computed statistically. The delta (ss_delta_value) is the financial difference:</w:t>
      </w:r>
    </w:p>
    <w:p>
      <w:pPr>
        <w:spacing w:before="80" w:after="80"/>
        <w:ind w:left="680"/>
      </w:pPr>
      <w:r>
        <w:rPr>
          <w:rFonts w:ascii="Courier New" w:hAnsi="Courier New"/>
          <w:color w:val="10B981"/>
          <w:sz w:val="20"/>
        </w:rPr>
        <w:t>ss_delta_value = (safety_stock_hist − safety_stock_optimal) × avg_muac_rate</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 xml:space="preserve">  Positive delta  →  Current SS &gt; Optimal SS  →  Working capital can be released</w:t>
      </w:r>
    </w:p>
    <w:p>
      <w:pPr>
        <w:spacing w:before="80" w:after="80"/>
        <w:ind w:left="680"/>
      </w:pPr>
      <w:r>
        <w:rPr>
          <w:rFonts w:ascii="Courier New" w:hAnsi="Courier New"/>
          <w:color w:val="10B981"/>
          <w:sz w:val="20"/>
        </w:rPr>
        <w:t xml:space="preserve">  Negative delta  →  Current SS &lt; Optimal SS  →  Stockout risk, increase SS</w:t>
      </w:r>
    </w:p>
    <w:p>
      <w:pPr>
        <w:spacing w:before="280" w:after="60"/>
      </w:pPr>
      <w:r>
        <w:rPr>
          <w:b/>
          <w:color w:val="F59E0B"/>
          <w:sz w:val="26"/>
        </w:rPr>
        <w:t>10.7  Safety Stock Reduction Decision Matrix</w:t>
      </w:r>
    </w:p>
    <w:p>
      <w:pPr>
        <w:spacing w:after="100"/>
      </w:pPr>
      <w:r>
        <w:rPr>
          <w:sz w:val="21"/>
        </w:rPr>
        <w:t>The AI agent's embedded knowledge base includes a matrix that guides SS reduction decisions by combining ABC class (criticality) with XYZ class (volatility):</w:t>
      </w:r>
    </w:p>
    <w:tbl>
      <w:tblPr>
        <w:tblStyle w:val="TableGrid"/>
        <w:tblW w:type="auto" w:w="0"/>
        <w:tblLook w:firstColumn="1" w:firstRow="1" w:lastColumn="0" w:lastRow="0" w:noHBand="0" w:noVBand="1" w:val="04A0"/>
      </w:tblPr>
      <w:tblGrid>
        <w:gridCol w:w="3022"/>
        <w:gridCol w:w="3022"/>
        <w:gridCol w:w="3022"/>
      </w:tblGrid>
      <w:tr>
        <w:tc>
          <w:tcPr>
            <w:tcW w:type="dxa" w:w="4032"/>
            <w:shd w:val="clear" w:color="auto" w:fill="0E1623"/>
          </w:tcPr>
          <w:p>
            <w:r>
              <w:rPr>
                <w:b/>
                <w:color w:val="FFFFFF"/>
                <w:sz w:val="19"/>
              </w:rPr>
              <w:t>Profile</w:t>
            </w:r>
          </w:p>
        </w:tc>
        <w:tc>
          <w:tcPr>
            <w:tcW w:type="dxa" w:w="2592"/>
            <w:shd w:val="clear" w:color="auto" w:fill="0E1623"/>
          </w:tcPr>
          <w:p>
            <w:r>
              <w:rPr>
                <w:b/>
                <w:color w:val="FFFFFF"/>
                <w:sz w:val="19"/>
              </w:rPr>
              <w:t>Recommended Action</w:t>
            </w:r>
          </w:p>
        </w:tc>
        <w:tc>
          <w:tcPr>
            <w:tcW w:type="dxa" w:w="3744"/>
            <w:shd w:val="clear" w:color="auto" w:fill="0E1623"/>
          </w:tcPr>
          <w:p>
            <w:r>
              <w:rPr>
                <w:b/>
                <w:color w:val="FFFFFF"/>
                <w:sz w:val="19"/>
              </w:rPr>
              <w:t>Target SS Level</w:t>
            </w:r>
          </w:p>
        </w:tc>
      </w:tr>
      <w:tr>
        <w:tc>
          <w:tcPr>
            <w:tcW w:type="dxa" w:w="4032"/>
          </w:tcPr>
          <w:p>
            <w:r>
              <w:rPr>
                <w:sz w:val="19"/>
              </w:rPr>
              <w:t>Low Volatility + Non-Critical (CX, BX)</w:t>
            </w:r>
          </w:p>
        </w:tc>
        <w:tc>
          <w:tcPr>
            <w:tcW w:type="dxa" w:w="2592"/>
          </w:tcPr>
          <w:p>
            <w:r>
              <w:rPr>
                <w:sz w:val="19"/>
              </w:rPr>
              <w:t>REDUCE 40–50%</w:t>
            </w:r>
          </w:p>
        </w:tc>
        <w:tc>
          <w:tcPr>
            <w:tcW w:type="dxa" w:w="3744"/>
          </w:tcPr>
          <w:p>
            <w:r>
              <w:rPr>
                <w:sz w:val="19"/>
              </w:rPr>
              <w:t>7–10 days of coverage</w:t>
            </w:r>
          </w:p>
        </w:tc>
      </w:tr>
      <w:tr>
        <w:tc>
          <w:tcPr>
            <w:tcW w:type="dxa" w:w="4032"/>
          </w:tcPr>
          <w:p>
            <w:r>
              <w:rPr>
                <w:sz w:val="19"/>
              </w:rPr>
              <w:t>Low Volatility + Critical (AX)</w:t>
            </w:r>
          </w:p>
        </w:tc>
        <w:tc>
          <w:tcPr>
            <w:tcW w:type="dxa" w:w="2592"/>
          </w:tcPr>
          <w:p>
            <w:r>
              <w:rPr>
                <w:sz w:val="19"/>
              </w:rPr>
              <w:t>REDUCE 10–20%</w:t>
            </w:r>
          </w:p>
        </w:tc>
        <w:tc>
          <w:tcPr>
            <w:tcW w:type="dxa" w:w="3744"/>
          </w:tcPr>
          <w:p>
            <w:r>
              <w:rPr>
                <w:sz w:val="19"/>
              </w:rPr>
              <w:t>15–20 days of coverage</w:t>
            </w:r>
          </w:p>
        </w:tc>
      </w:tr>
      <w:tr>
        <w:tc>
          <w:tcPr>
            <w:tcW w:type="dxa" w:w="4032"/>
          </w:tcPr>
          <w:p>
            <w:r>
              <w:rPr>
                <w:sz w:val="19"/>
              </w:rPr>
              <w:t>High Volatility + Non-Critical (CZ, BZ)</w:t>
            </w:r>
          </w:p>
        </w:tc>
        <w:tc>
          <w:tcPr>
            <w:tcW w:type="dxa" w:w="2592"/>
          </w:tcPr>
          <w:p>
            <w:r>
              <w:rPr>
                <w:sz w:val="19"/>
              </w:rPr>
              <w:t>REDUCE 10–20%</w:t>
            </w:r>
          </w:p>
        </w:tc>
        <w:tc>
          <w:tcPr>
            <w:tcW w:type="dxa" w:w="3744"/>
          </w:tcPr>
          <w:p>
            <w:r>
              <w:rPr>
                <w:sz w:val="19"/>
              </w:rPr>
              <w:t>20–25 days of coverage</w:t>
            </w:r>
          </w:p>
        </w:tc>
      </w:tr>
      <w:tr>
        <w:tc>
          <w:tcPr>
            <w:tcW w:type="dxa" w:w="4032"/>
          </w:tcPr>
          <w:p>
            <w:r>
              <w:rPr>
                <w:sz w:val="19"/>
              </w:rPr>
              <w:t>High Volatility + Critical (AZ)</w:t>
            </w:r>
          </w:p>
        </w:tc>
        <w:tc>
          <w:tcPr>
            <w:tcW w:type="dxa" w:w="2592"/>
          </w:tcPr>
          <w:p>
            <w:r>
              <w:rPr>
                <w:sz w:val="19"/>
              </w:rPr>
              <w:t>MAINTAIN / INCREASE</w:t>
            </w:r>
          </w:p>
        </w:tc>
        <w:tc>
          <w:tcPr>
            <w:tcW w:type="dxa" w:w="3744"/>
          </w:tcPr>
          <w:p>
            <w:r>
              <w:rPr>
                <w:sz w:val="19"/>
              </w:rPr>
              <w:t>30–45 days of coverage</w:t>
            </w:r>
          </w:p>
        </w:tc>
      </w:tr>
    </w:tbl>
    <w:p/>
    <w:p>
      <w:pPr>
        <w:spacing w:before="440" w:after="100"/>
        <w:pBdr>
          <w:bottom w:val="single" w:sz="6" w:space="4" w:color="00B4D8"/>
        </w:pBdr>
      </w:pPr>
      <w:r>
        <w:rPr>
          <w:b/>
          <w:color w:val="00B4D8"/>
          <w:sz w:val="34"/>
        </w:rPr>
        <w:t>11.  Demand Forecasting Model</w:t>
      </w:r>
    </w:p>
    <w:p>
      <w:pPr>
        <w:spacing w:before="280" w:after="60"/>
      </w:pPr>
      <w:r>
        <w:rPr>
          <w:b/>
          <w:color w:val="F59E0B"/>
          <w:sz w:val="26"/>
        </w:rPr>
        <w:t>11.1  Model Choice Rationale</w:t>
      </w:r>
    </w:p>
    <w:p>
      <w:pPr>
        <w:spacing w:after="100"/>
      </w:pPr>
      <w:r>
        <w:rPr>
          <w:sz w:val="21"/>
        </w:rPr>
        <w:t>With only three annual data points per material, complex models such as ARIMA, Exponential Smoothing with seasonality, or Prophet would overfit badly — they have more parameters than observations. The system uses a recency-weighted moving average: simple, transparent, and defensible to the procurement team. It correctly gives the most recent year the highest weight while still considering older data for trend context.</w:t>
      </w:r>
    </w:p>
    <w:p>
      <w:pPr>
        <w:spacing w:before="280" w:after="60"/>
      </w:pPr>
      <w:r>
        <w:rPr>
          <w:b/>
          <w:color w:val="F59E0B"/>
          <w:sz w:val="26"/>
        </w:rPr>
        <w:t>11.2  Recency-Weighted Forecast Formula</w:t>
      </w:r>
    </w:p>
    <w:p>
      <w:pPr>
        <w:spacing w:before="80" w:after="80"/>
        <w:ind w:left="680"/>
      </w:pPr>
      <w:r>
        <w:rPr>
          <w:rFonts w:ascii="Courier New" w:hAnsi="Courier New"/>
          <w:color w:val="10B981"/>
          <w:sz w:val="20"/>
        </w:rPr>
        <w:t>Forecast = (0.50 × FY_2024_25) + (0.30 × FY_2023_24) + (0.20 × FY_2022_23)</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If any year is missing (NaN), weights are re-normalised across available years:</w:t>
      </w:r>
    </w:p>
    <w:p>
      <w:pPr>
        <w:spacing w:before="80" w:after="80"/>
        <w:ind w:left="680"/>
      </w:pPr>
      <w:r>
        <w:rPr>
          <w:rFonts w:ascii="Courier New" w:hAnsi="Courier New"/>
          <w:color w:val="10B981"/>
          <w:sz w:val="20"/>
        </w:rPr>
        <w:t xml:space="preserve">  e.g., if FY_2022_23 is missing: weights become 0.5/0.8 and 0.3/0.8 respectively</w:t>
      </w:r>
    </w:p>
    <w:p>
      <w:pPr>
        <w:spacing w:after="100"/>
      </w:pPr>
      <w:r>
        <w:rPr>
          <w:sz w:val="21"/>
        </w:rPr>
        <w:t>The weights (50/30/20) reflect a belief that the most recent year's demand is the best predictor of next year's demand, but that older data still provides useful signal — especially for materials with lumpy or step-change patterns.</w:t>
      </w:r>
    </w:p>
    <w:p>
      <w:pPr>
        <w:spacing w:before="280" w:after="60"/>
      </w:pPr>
      <w:r>
        <w:rPr>
          <w:b/>
          <w:color w:val="F59E0B"/>
          <w:sz w:val="26"/>
        </w:rPr>
        <w:t>11.3  Confidence Band (±2σ)</w:t>
      </w:r>
    </w:p>
    <w:p>
      <w:pPr>
        <w:spacing w:before="80" w:after="80"/>
        <w:ind w:left="680"/>
      </w:pPr>
      <w:r>
        <w:rPr>
          <w:rFonts w:ascii="Courier New" w:hAnsi="Courier New"/>
          <w:color w:val="10B981"/>
          <w:sz w:val="20"/>
        </w:rPr>
        <w:t>Forecast Upper Band = Forecast + 2 × σ_annual</w:t>
      </w:r>
    </w:p>
    <w:p>
      <w:pPr>
        <w:spacing w:before="80" w:after="80"/>
        <w:ind w:left="680"/>
      </w:pPr>
      <w:r>
        <w:rPr>
          <w:rFonts w:ascii="Courier New" w:hAnsi="Courier New"/>
          <w:color w:val="10B981"/>
          <w:sz w:val="20"/>
        </w:rPr>
        <w:t>Forecast Lower Band = max(0, Forecast − 2 × σ_annual)</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where σ_annual = avg_annual_consumption × consumption_volatility (CV)</w:t>
      </w:r>
    </w:p>
    <w:p>
      <w:pPr>
        <w:spacing w:after="100"/>
      </w:pPr>
      <w:r>
        <w:rPr>
          <w:sz w:val="21"/>
        </w:rPr>
        <w:t>The ±2σ band represents approximately a 95% confidence interval under the normal distribution assumption. For Z-class items (CV ≥ 0.50), this band will be wide, reflecting high uncertainty. The system displays this as a vertical range marker on the 3-year consumption + forecast chart in the dashboard.</w:t>
      </w:r>
    </w:p>
    <w:p>
      <w:pPr>
        <w:spacing w:before="280" w:after="60"/>
      </w:pPr>
      <w:r>
        <w:rPr>
          <w:b/>
          <w:color w:val="F59E0B"/>
          <w:sz w:val="26"/>
        </w:rPr>
        <w:t>11.4  Forecast Limitations</w:t>
      </w:r>
    </w:p>
    <w:p>
      <w:pPr>
        <w:pStyle w:val="ListBullet"/>
        <w:spacing w:after="60"/>
        <w:ind w:left="454"/>
      </w:pPr>
      <w:r>
        <w:rPr>
          <w:sz w:val="21"/>
        </w:rPr>
        <w:t>No seasonality modelling — annual totals mask within-year demand spikes.</w:t>
      </w:r>
    </w:p>
    <w:p>
      <w:pPr>
        <w:pStyle w:val="ListBullet"/>
        <w:spacing w:after="60"/>
        <w:ind w:left="454"/>
      </w:pPr>
      <w:r>
        <w:rPr>
          <w:sz w:val="21"/>
        </w:rPr>
        <w:t>No external covariate integration (e.g., production order volumes, economic indices).</w:t>
      </w:r>
    </w:p>
    <w:p>
      <w:pPr>
        <w:pStyle w:val="ListBullet"/>
        <w:spacing w:after="60"/>
        <w:ind w:left="454"/>
      </w:pPr>
      <w:r>
        <w:rPr>
          <w:sz w:val="21"/>
        </w:rPr>
        <w:t>Assumes demand continuation from historical pattern — step-changes (new product launches, discontinued lines) are not detected automatically.</w:t>
      </w:r>
    </w:p>
    <w:p>
      <w:pPr>
        <w:pStyle w:val="ListBullet"/>
        <w:spacing w:after="60"/>
        <w:ind w:left="454"/>
      </w:pPr>
      <w:r>
        <w:rPr>
          <w:sz w:val="21"/>
        </w:rPr>
        <w:t>For Z-class items with sparse or intermittent demand, the normal distribution assumption fails; Croston's method or Negative Binomial would be more appropriate.</w:t>
      </w:r>
    </w:p>
    <w:p>
      <w:pPr>
        <w:spacing w:after="80"/>
        <w:ind w:left="567"/>
      </w:pPr>
      <w:r>
        <w:rPr>
          <w:i/>
          <w:color w:val="64748B"/>
          <w:sz w:val="19"/>
        </w:rPr>
        <w:t>Note:  The system surfaces the forecast as directional guidance. Final procurement decisions should incorporate planner judgement, especially for AZ items.</w:t>
      </w:r>
    </w:p>
    <w:p>
      <w:pPr>
        <w:spacing w:before="440" w:after="100"/>
        <w:pBdr>
          <w:bottom w:val="single" w:sz="6" w:space="4" w:color="00B4D8"/>
        </w:pBdr>
      </w:pPr>
      <w:r>
        <w:rPr>
          <w:b/>
          <w:color w:val="00B4D8"/>
          <w:sz w:val="34"/>
        </w:rPr>
        <w:t>12.  Safety Stock Optimisation &amp; Working Capital Analysis</w:t>
      </w:r>
    </w:p>
    <w:p>
      <w:pPr>
        <w:spacing w:before="280" w:after="60"/>
      </w:pPr>
      <w:r>
        <w:rPr>
          <w:b/>
          <w:color w:val="F59E0B"/>
          <w:sz w:val="26"/>
        </w:rPr>
        <w:t>12.1  The Working Capital Equation</w:t>
      </w:r>
    </w:p>
    <w:p>
      <w:pPr>
        <w:spacing w:after="100"/>
      </w:pPr>
      <w:r>
        <w:rPr>
          <w:sz w:val="21"/>
        </w:rPr>
        <w:t>Safety stock directly ties up working capital. Every unit of SS held in inventory has an opportunity cost equal to the capital cost rate (WACC or hurdle rate) multiplied by the unit value. The system quantifies this trade-off:</w:t>
      </w:r>
    </w:p>
    <w:p>
      <w:pPr>
        <w:spacing w:before="80" w:after="80"/>
        <w:ind w:left="680"/>
      </w:pPr>
      <w:r>
        <w:rPr>
          <w:rFonts w:ascii="Courier New" w:hAnsi="Courier New"/>
          <w:color w:val="10B981"/>
          <w:sz w:val="20"/>
        </w:rPr>
        <w:t>Working Capital Tied Up by SS = safety_stock_hist × avg_muac_rate  [₹]</w:t>
      </w:r>
    </w:p>
    <w:p>
      <w:pPr>
        <w:spacing w:before="80" w:after="80"/>
        <w:ind w:left="680"/>
      </w:pPr>
      <w:r>
        <w:rPr>
          <w:rFonts w:ascii="Courier New" w:hAnsi="Courier New"/>
          <w:color w:val="10B981"/>
          <w:sz w:val="20"/>
        </w:rPr>
        <w:t>Optimal Working Capital in SS  = safety_stock_optimal × avg_muac_rate  [₹]</w:t>
      </w:r>
    </w:p>
    <w:p>
      <w:pPr>
        <w:spacing w:before="80" w:after="80"/>
        <w:ind w:left="680"/>
      </w:pPr>
      <w:r>
        <w:rPr>
          <w:rFonts w:ascii="Courier New" w:hAnsi="Courier New"/>
          <w:color w:val="10B981"/>
          <w:sz w:val="20"/>
        </w:rPr>
        <w:t>Releasable Capital             = (safety_stock_hist − optimal) × avg_muac_rate</w:t>
      </w:r>
    </w:p>
    <w:p>
      <w:pPr>
        <w:spacing w:before="80" w:after="80"/>
        <w:ind w:left="680"/>
      </w:pPr>
      <w:r>
        <w:rPr>
          <w:rFonts w:ascii="Courier New" w:hAnsi="Courier New"/>
          <w:color w:val="10B981"/>
          <w:sz w:val="20"/>
        </w:rPr>
        <w:t xml:space="preserve">  Positive = over-stocked (can reduce SS without affecting service level)</w:t>
      </w:r>
    </w:p>
    <w:p>
      <w:pPr>
        <w:spacing w:before="80" w:after="80"/>
        <w:ind w:left="680"/>
      </w:pPr>
      <w:r>
        <w:rPr>
          <w:rFonts w:ascii="Courier New" w:hAnsi="Courier New"/>
          <w:color w:val="10B981"/>
          <w:sz w:val="20"/>
        </w:rPr>
        <w:t xml:space="preserve">  Negative = under-stocked (increase SS to protect against stockouts)</w:t>
      </w:r>
    </w:p>
    <w:p>
      <w:pPr>
        <w:spacing w:before="280" w:after="60"/>
      </w:pPr>
      <w:r>
        <w:rPr>
          <w:b/>
          <w:color w:val="F59E0B"/>
          <w:sz w:val="26"/>
        </w:rPr>
        <w:t>12.2  Dashboard Metrics</w:t>
      </w:r>
    </w:p>
    <w:tbl>
      <w:tblPr>
        <w:tblStyle w:val="TableGrid"/>
        <w:tblW w:type="auto" w:w="0"/>
        <w:tblLook w:firstColumn="1" w:firstRow="1" w:lastColumn="0" w:lastRow="0" w:noHBand="0" w:noVBand="1" w:val="04A0"/>
      </w:tblPr>
      <w:tblGrid>
        <w:gridCol w:w="3022"/>
        <w:gridCol w:w="3022"/>
        <w:gridCol w:w="3022"/>
      </w:tblGrid>
      <w:tr>
        <w:tc>
          <w:tcPr>
            <w:tcW w:type="dxa" w:w="2880"/>
            <w:shd w:val="clear" w:color="auto" w:fill="0E1623"/>
          </w:tcPr>
          <w:p>
            <w:r>
              <w:rPr>
                <w:b/>
                <w:color w:val="FFFFFF"/>
                <w:sz w:val="19"/>
              </w:rPr>
              <w:t>Metric</w:t>
            </w:r>
          </w:p>
        </w:tc>
        <w:tc>
          <w:tcPr>
            <w:tcW w:type="dxa" w:w="3744"/>
            <w:shd w:val="clear" w:color="auto" w:fill="0E1623"/>
          </w:tcPr>
          <w:p>
            <w:r>
              <w:rPr>
                <w:b/>
                <w:color w:val="FFFFFF"/>
                <w:sz w:val="19"/>
              </w:rPr>
              <w:t>Formula</w:t>
            </w:r>
          </w:p>
        </w:tc>
        <w:tc>
          <w:tcPr>
            <w:tcW w:type="dxa" w:w="3744"/>
            <w:shd w:val="clear" w:color="auto" w:fill="0E1623"/>
          </w:tcPr>
          <w:p>
            <w:r>
              <w:rPr>
                <w:b/>
                <w:color w:val="FFFFFF"/>
                <w:sz w:val="19"/>
              </w:rPr>
              <w:t>Interpretation</w:t>
            </w:r>
          </w:p>
        </w:tc>
      </w:tr>
      <w:tr>
        <w:tc>
          <w:tcPr>
            <w:tcW w:type="dxa" w:w="2880"/>
          </w:tcPr>
          <w:p>
            <w:r>
              <w:rPr>
                <w:sz w:val="19"/>
              </w:rPr>
              <w:t>Working Capital Releasable</w:t>
            </w:r>
          </w:p>
        </w:tc>
        <w:tc>
          <w:tcPr>
            <w:tcW w:type="dxa" w:w="3744"/>
          </w:tcPr>
          <w:p>
            <w:r>
              <w:rPr>
                <w:sz w:val="19"/>
              </w:rPr>
              <w:t>Σ ss_delta_value where delta &gt; 0</w:t>
            </w:r>
          </w:p>
        </w:tc>
        <w:tc>
          <w:tcPr>
            <w:tcW w:type="dxa" w:w="3744"/>
          </w:tcPr>
          <w:p>
            <w:r>
              <w:rPr>
                <w:sz w:val="19"/>
              </w:rPr>
              <w:t>Total ₹ locked in excess SS across all over-stocked items</w:t>
            </w:r>
          </w:p>
        </w:tc>
      </w:tr>
      <w:tr>
        <w:tc>
          <w:tcPr>
            <w:tcW w:type="dxa" w:w="2880"/>
          </w:tcPr>
          <w:p>
            <w:r>
              <w:rPr>
                <w:sz w:val="19"/>
              </w:rPr>
              <w:t>Stockout Risk (₹)</w:t>
            </w:r>
          </w:p>
        </w:tc>
        <w:tc>
          <w:tcPr>
            <w:tcW w:type="dxa" w:w="3744"/>
          </w:tcPr>
          <w:p>
            <w:r>
              <w:rPr>
                <w:sz w:val="19"/>
              </w:rPr>
              <w:t>Σ |ss_delta_value| where delta &lt; 0</w:t>
            </w:r>
          </w:p>
        </w:tc>
        <w:tc>
          <w:tcPr>
            <w:tcW w:type="dxa" w:w="3744"/>
          </w:tcPr>
          <w:p>
            <w:r>
              <w:rPr>
                <w:sz w:val="19"/>
              </w:rPr>
              <w:t>Total ₹ shortfall in SS across all under-stocked items</w:t>
            </w:r>
          </w:p>
        </w:tc>
      </w:tr>
      <w:tr>
        <w:tc>
          <w:tcPr>
            <w:tcW w:type="dxa" w:w="2880"/>
          </w:tcPr>
          <w:p>
            <w:r>
              <w:rPr>
                <w:sz w:val="19"/>
              </w:rPr>
              <w:t>Items Analyzed</w:t>
            </w:r>
          </w:p>
        </w:tc>
        <w:tc>
          <w:tcPr>
            <w:tcW w:type="dxa" w:w="3744"/>
          </w:tcPr>
          <w:p>
            <w:r>
              <w:rPr>
                <w:sz w:val="19"/>
              </w:rPr>
              <w:t>COUNT where optimal SS is computable</w:t>
            </w:r>
          </w:p>
        </w:tc>
        <w:tc>
          <w:tcPr>
            <w:tcW w:type="dxa" w:w="3744"/>
          </w:tcPr>
          <w:p>
            <w:r>
              <w:rPr>
                <w:sz w:val="19"/>
              </w:rPr>
              <w:t>Only 21C MRP items with full consumption + lead time data</w:t>
            </w:r>
          </w:p>
        </w:tc>
      </w:tr>
      <w:tr>
        <w:tc>
          <w:tcPr>
            <w:tcW w:type="dxa" w:w="2880"/>
          </w:tcPr>
          <w:p>
            <w:r>
              <w:rPr>
                <w:sz w:val="19"/>
              </w:rPr>
              <w:t>Z-score at SL</w:t>
            </w:r>
          </w:p>
        </w:tc>
        <w:tc>
          <w:tcPr>
            <w:tcW w:type="dxa" w:w="3744"/>
          </w:tcPr>
          <w:p>
            <w:r>
              <w:rPr>
                <w:sz w:val="19"/>
              </w:rPr>
              <w:t>z(95%) = 1.645, z(98%) = 2.054, z(99%) = 2.326</w:t>
            </w:r>
          </w:p>
        </w:tc>
        <w:tc>
          <w:tcPr>
            <w:tcW w:type="dxa" w:w="3744"/>
          </w:tcPr>
          <w:p>
            <w:r>
              <w:rPr>
                <w:sz w:val="19"/>
              </w:rPr>
              <w:t>Shows the statistical aggressiveness of the chosen service level</w:t>
            </w:r>
          </w:p>
        </w:tc>
      </w:tr>
    </w:tbl>
    <w:p/>
    <w:p>
      <w:pPr>
        <w:spacing w:before="280" w:after="60"/>
      </w:pPr>
      <w:r>
        <w:rPr>
          <w:b/>
          <w:color w:val="F59E0B"/>
          <w:sz w:val="26"/>
        </w:rPr>
        <w:t>12.3  Service Level Selection</w:t>
      </w:r>
    </w:p>
    <w:p>
      <w:pPr>
        <w:spacing w:after="100"/>
      </w:pPr>
      <w:r>
        <w:rPr>
          <w:sz w:val="21"/>
        </w:rPr>
        <w:t>The dashboard allows users to toggle between 95%, 98%, and 99% service levels. Higher service levels require more safety stock (larger z-score), freeing less capital or demanding more investment. The recommended default for A-class items is 98%; for C-class, 95% is typically sufficient.</w:t>
      </w:r>
    </w:p>
    <w:p>
      <w:pPr>
        <w:spacing w:before="440" w:after="100"/>
        <w:pBdr>
          <w:bottom w:val="single" w:sz="6" w:space="4" w:color="00B4D8"/>
        </w:pBdr>
      </w:pPr>
      <w:r>
        <w:rPr>
          <w:b/>
          <w:color w:val="00B4D8"/>
          <w:sz w:val="34"/>
        </w:rPr>
        <w:t>13.  Supplier Risk Scoring Model</w:t>
      </w:r>
    </w:p>
    <w:p>
      <w:pPr>
        <w:spacing w:before="280" w:after="60"/>
      </w:pPr>
      <w:r>
        <w:rPr>
          <w:b/>
          <w:color w:val="F59E0B"/>
          <w:sz w:val="26"/>
        </w:rPr>
        <w:t>13.1  Model Philosophy</w:t>
      </w:r>
    </w:p>
    <w:p>
      <w:pPr>
        <w:spacing w:after="100"/>
      </w:pPr>
      <w:r>
        <w:rPr>
          <w:sz w:val="21"/>
        </w:rPr>
        <w:t>The supplier risk score is a composite index designed to surface suppliers that represent the highest operational and financial exposure if they fail to deliver. It combines four distinct risk dimensions, each normalised to a 0–100 scale so that no single factor dominates purely due to scale.</w:t>
      </w:r>
    </w:p>
    <w:p>
      <w:pPr>
        <w:spacing w:before="280" w:after="60"/>
      </w:pPr>
      <w:r>
        <w:rPr>
          <w:b/>
          <w:color w:val="F59E0B"/>
          <w:sz w:val="26"/>
        </w:rPr>
        <w:t>13.2  Risk Components</w:t>
      </w:r>
    </w:p>
    <w:tbl>
      <w:tblPr>
        <w:tblStyle w:val="TableGrid"/>
        <w:tblW w:type="auto" w:w="0"/>
        <w:tblLook w:firstColumn="1" w:firstRow="1" w:lastColumn="0" w:lastRow="0" w:noHBand="0" w:noVBand="1" w:val="04A0"/>
      </w:tblPr>
      <w:tblGrid>
        <w:gridCol w:w="2266"/>
        <w:gridCol w:w="2266"/>
        <w:gridCol w:w="2266"/>
        <w:gridCol w:w="2266"/>
      </w:tblGrid>
      <w:tr>
        <w:tc>
          <w:tcPr>
            <w:tcW w:type="dxa" w:w="3024"/>
            <w:shd w:val="clear" w:color="auto" w:fill="0E1623"/>
          </w:tcPr>
          <w:p>
            <w:r>
              <w:rPr>
                <w:b/>
                <w:color w:val="FFFFFF"/>
                <w:sz w:val="19"/>
              </w:rPr>
              <w:t>Factor</w:t>
            </w:r>
          </w:p>
        </w:tc>
        <w:tc>
          <w:tcPr>
            <w:tcW w:type="dxa" w:w="1008"/>
            <w:shd w:val="clear" w:color="auto" w:fill="0E1623"/>
          </w:tcPr>
          <w:p>
            <w:r>
              <w:rPr>
                <w:b/>
                <w:color w:val="FFFFFF"/>
                <w:sz w:val="19"/>
              </w:rPr>
              <w:t>Weight</w:t>
            </w:r>
          </w:p>
        </w:tc>
        <w:tc>
          <w:tcPr>
            <w:tcW w:type="dxa" w:w="2736"/>
            <w:shd w:val="clear" w:color="auto" w:fill="0E1623"/>
          </w:tcPr>
          <w:p>
            <w:r>
              <w:rPr>
                <w:b/>
                <w:color w:val="FFFFFF"/>
                <w:sz w:val="19"/>
              </w:rPr>
              <w:t>Source Column</w:t>
            </w:r>
          </w:p>
        </w:tc>
        <w:tc>
          <w:tcPr>
            <w:tcW w:type="dxa" w:w="5040"/>
            <w:shd w:val="clear" w:color="auto" w:fill="0E1623"/>
          </w:tcPr>
          <w:p>
            <w:r>
              <w:rPr>
                <w:b/>
                <w:color w:val="FFFFFF"/>
                <w:sz w:val="19"/>
              </w:rPr>
              <w:t>What It Measures</w:t>
            </w:r>
          </w:p>
        </w:tc>
      </w:tr>
      <w:tr>
        <w:tc>
          <w:tcPr>
            <w:tcW w:type="dxa" w:w="3024"/>
          </w:tcPr>
          <w:p>
            <w:r>
              <w:rPr>
                <w:sz w:val="19"/>
              </w:rPr>
              <w:t>Single-Source A-Class Count</w:t>
            </w:r>
          </w:p>
        </w:tc>
        <w:tc>
          <w:tcPr>
            <w:tcW w:type="dxa" w:w="1008"/>
          </w:tcPr>
          <w:p>
            <w:r>
              <w:rPr>
                <w:sz w:val="19"/>
              </w:rPr>
              <w:t>40%</w:t>
            </w:r>
          </w:p>
        </w:tc>
        <w:tc>
          <w:tcPr>
            <w:tcW w:type="dxa" w:w="2736"/>
          </w:tcPr>
          <w:p>
            <w:r>
              <w:rPr>
                <w:sz w:val="19"/>
              </w:rPr>
              <w:t>single_source_a_count</w:t>
            </w:r>
          </w:p>
        </w:tc>
        <w:tc>
          <w:tcPr>
            <w:tcW w:type="dxa" w:w="5040"/>
          </w:tcPr>
          <w:p>
            <w:r>
              <w:rPr>
                <w:sz w:val="19"/>
              </w:rPr>
              <w:t>Number of high-value (ABC=A) materials where this supplier is the ONLY source. A disruption here directly halts production of critical items.</w:t>
            </w:r>
          </w:p>
        </w:tc>
      </w:tr>
      <w:tr>
        <w:tc>
          <w:tcPr>
            <w:tcW w:type="dxa" w:w="3024"/>
          </w:tcPr>
          <w:p>
            <w:r>
              <w:rPr>
                <w:sz w:val="19"/>
              </w:rPr>
              <w:t>Spend Concentration</w:t>
            </w:r>
          </w:p>
        </w:tc>
        <w:tc>
          <w:tcPr>
            <w:tcW w:type="dxa" w:w="1008"/>
          </w:tcPr>
          <w:p>
            <w:r>
              <w:rPr>
                <w:sz w:val="19"/>
              </w:rPr>
              <w:t>30%</w:t>
            </w:r>
          </w:p>
        </w:tc>
        <w:tc>
          <w:tcPr>
            <w:tcW w:type="dxa" w:w="2736"/>
          </w:tcPr>
          <w:p>
            <w:r>
              <w:rPr>
                <w:sz w:val="19"/>
              </w:rPr>
              <w:t>spend_pct</w:t>
            </w:r>
          </w:p>
        </w:tc>
        <w:tc>
          <w:tcPr>
            <w:tcW w:type="dxa" w:w="5040"/>
          </w:tcPr>
          <w:p>
            <w:r>
              <w:rPr>
                <w:sz w:val="19"/>
              </w:rPr>
              <w:t>Percentage of total open-order spend (TBO + pending) concentrated in this supplier. High spend concentration means switching costs are enormous.</w:t>
            </w:r>
          </w:p>
        </w:tc>
      </w:tr>
      <w:tr>
        <w:tc>
          <w:tcPr>
            <w:tcW w:type="dxa" w:w="3024"/>
          </w:tcPr>
          <w:p>
            <w:r>
              <w:rPr>
                <w:sz w:val="19"/>
              </w:rPr>
              <w:t>Lead-Time Variability</w:t>
            </w:r>
          </w:p>
        </w:tc>
        <w:tc>
          <w:tcPr>
            <w:tcW w:type="dxa" w:w="1008"/>
          </w:tcPr>
          <w:p>
            <w:r>
              <w:rPr>
                <w:sz w:val="19"/>
              </w:rPr>
              <w:t>20%</w:t>
            </w:r>
          </w:p>
        </w:tc>
        <w:tc>
          <w:tcPr>
            <w:tcW w:type="dxa" w:w="2736"/>
          </w:tcPr>
          <w:p>
            <w:r>
              <w:rPr>
                <w:sz w:val="19"/>
              </w:rPr>
              <w:t>lt_std_weeks</w:t>
            </w:r>
          </w:p>
        </w:tc>
        <w:tc>
          <w:tcPr>
            <w:tcW w:type="dxa" w:w="5040"/>
          </w:tcPr>
          <w:p>
            <w:r>
              <w:rPr>
                <w:sz w:val="19"/>
              </w:rPr>
              <w:t>Standard deviation of lead times across all materials supplied. High variability makes planning unreliable regardless of the average lead time.</w:t>
            </w:r>
          </w:p>
        </w:tc>
      </w:tr>
      <w:tr>
        <w:tc>
          <w:tcPr>
            <w:tcW w:type="dxa" w:w="3024"/>
          </w:tcPr>
          <w:p>
            <w:r>
              <w:rPr>
                <w:sz w:val="19"/>
              </w:rPr>
              <w:t>Coverage Breadth</w:t>
            </w:r>
          </w:p>
        </w:tc>
        <w:tc>
          <w:tcPr>
            <w:tcW w:type="dxa" w:w="1008"/>
          </w:tcPr>
          <w:p>
            <w:r>
              <w:rPr>
                <w:sz w:val="19"/>
              </w:rPr>
              <w:t>10%</w:t>
            </w:r>
          </w:p>
        </w:tc>
        <w:tc>
          <w:tcPr>
            <w:tcW w:type="dxa" w:w="2736"/>
          </w:tcPr>
          <w:p>
            <w:r>
              <w:rPr>
                <w:sz w:val="19"/>
              </w:rPr>
              <w:t>warehouse_count</w:t>
            </w:r>
          </w:p>
        </w:tc>
        <w:tc>
          <w:tcPr>
            <w:tcW w:type="dxa" w:w="5040"/>
          </w:tcPr>
          <w:p>
            <w:r>
              <w:rPr>
                <w:sz w:val="19"/>
              </w:rPr>
              <w:t>Fewer warehouses served = harder to absorb disruption across the supply network. Scored as (1 − wh_count / total_warehouses) × 100.</w:t>
            </w:r>
          </w:p>
        </w:tc>
      </w:tr>
    </w:tbl>
    <w:p/>
    <w:p>
      <w:pPr>
        <w:spacing w:before="280" w:after="60"/>
      </w:pPr>
      <w:r>
        <w:rPr>
          <w:b/>
          <w:color w:val="F59E0B"/>
          <w:sz w:val="26"/>
        </w:rPr>
        <w:t>13.3  Normalisation</w:t>
      </w:r>
    </w:p>
    <w:p>
      <w:pPr>
        <w:spacing w:before="80" w:after="80"/>
        <w:ind w:left="680"/>
      </w:pPr>
      <w:r>
        <w:rPr>
          <w:rFonts w:ascii="Courier New" w:hAnsi="Courier New"/>
          <w:color w:val="10B981"/>
          <w:sz w:val="20"/>
        </w:rPr>
        <w:t>For each factor f:</w:t>
      </w:r>
    </w:p>
    <w:p>
      <w:pPr>
        <w:spacing w:before="80" w:after="80"/>
        <w:ind w:left="680"/>
      </w:pPr>
      <w:r>
        <w:rPr>
          <w:rFonts w:ascii="Courier New" w:hAnsi="Courier New"/>
          <w:color w:val="10B981"/>
          <w:sz w:val="20"/>
        </w:rPr>
        <w:t xml:space="preserve">  factor_norm[i] = (raw_value[i] / max(raw_value across all suppliers)) × 100</w:t>
      </w:r>
    </w:p>
    <w:p>
      <w:pPr>
        <w:spacing w:after="100"/>
      </w:pPr>
      <w:r>
        <w:rPr>
          <w:sz w:val="21"/>
        </w:rPr>
        <w:t>Normalisation is relative to the current supplier portfolio — scores are not absolute but rank suppliers against each other. This means re-running the database rebuild after adding a new supplier will shift existing scores if the new supplier changes any population maximum.</w:t>
      </w:r>
    </w:p>
    <w:p>
      <w:pPr>
        <w:spacing w:before="280" w:after="60"/>
      </w:pPr>
      <w:r>
        <w:rPr>
          <w:b/>
          <w:color w:val="F59E0B"/>
          <w:sz w:val="26"/>
        </w:rPr>
        <w:t>13.4  Composite Score</w:t>
      </w:r>
    </w:p>
    <w:p>
      <w:pPr>
        <w:spacing w:before="80" w:after="80"/>
        <w:ind w:left="680"/>
      </w:pPr>
      <w:r>
        <w:rPr>
          <w:rFonts w:ascii="Courier New" w:hAnsi="Courier New"/>
          <w:color w:val="10B981"/>
          <w:sz w:val="20"/>
        </w:rPr>
        <w:t>risk_score = (0.40 × ss_a_norm) + (0.30 × spend_norm)</w:t>
      </w:r>
    </w:p>
    <w:p>
      <w:pPr>
        <w:spacing w:before="80" w:after="80"/>
        <w:ind w:left="680"/>
      </w:pPr>
      <w:r>
        <w:rPr>
          <w:rFonts w:ascii="Courier New" w:hAnsi="Courier New"/>
          <w:color w:val="10B981"/>
          <w:sz w:val="20"/>
        </w:rPr>
        <w:t xml:space="preserve">           + (0.20 × lt_norm)    + (0.10 × coverage_norm)</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Score range: 0 (lowest risk) to 100 (highest risk)</w:t>
      </w:r>
    </w:p>
    <w:p>
      <w:pPr>
        <w:spacing w:before="280" w:after="60"/>
      </w:pPr>
      <w:r>
        <w:rPr>
          <w:b/>
          <w:color w:val="F59E0B"/>
          <w:sz w:val="26"/>
        </w:rPr>
        <w:t>13.5  Risk Tiers</w:t>
      </w:r>
    </w:p>
    <w:tbl>
      <w:tblPr>
        <w:tblStyle w:val="TableGrid"/>
        <w:tblW w:type="auto" w:w="0"/>
        <w:tblLook w:firstColumn="1" w:firstRow="1" w:lastColumn="0" w:lastRow="0" w:noHBand="0" w:noVBand="1" w:val="04A0"/>
      </w:tblPr>
      <w:tblGrid>
        <w:gridCol w:w="3022"/>
        <w:gridCol w:w="3022"/>
        <w:gridCol w:w="3022"/>
      </w:tblGrid>
      <w:tr>
        <w:tc>
          <w:tcPr>
            <w:tcW w:type="dxa" w:w="1440"/>
            <w:shd w:val="clear" w:color="auto" w:fill="0E1623"/>
          </w:tcPr>
          <w:p>
            <w:r>
              <w:rPr>
                <w:b/>
                <w:color w:val="FFFFFF"/>
                <w:sz w:val="19"/>
              </w:rPr>
              <w:t>Tier</w:t>
            </w:r>
          </w:p>
        </w:tc>
        <w:tc>
          <w:tcPr>
            <w:tcW w:type="dxa" w:w="2016"/>
            <w:shd w:val="clear" w:color="auto" w:fill="0E1623"/>
          </w:tcPr>
          <w:p>
            <w:r>
              <w:rPr>
                <w:b/>
                <w:color w:val="FFFFFF"/>
                <w:sz w:val="19"/>
              </w:rPr>
              <w:t>Score Range</w:t>
            </w:r>
          </w:p>
        </w:tc>
        <w:tc>
          <w:tcPr>
            <w:tcW w:type="dxa" w:w="6912"/>
            <w:shd w:val="clear" w:color="auto" w:fill="0E1623"/>
          </w:tcPr>
          <w:p>
            <w:r>
              <w:rPr>
                <w:b/>
                <w:color w:val="FFFFFF"/>
                <w:sz w:val="19"/>
              </w:rPr>
              <w:t>Recommended Action</w:t>
            </w:r>
          </w:p>
        </w:tc>
      </w:tr>
      <w:tr>
        <w:tc>
          <w:tcPr>
            <w:tcW w:type="dxa" w:w="1440"/>
          </w:tcPr>
          <w:p>
            <w:r>
              <w:rPr>
                <w:sz w:val="19"/>
              </w:rPr>
              <w:t>Low</w:t>
            </w:r>
          </w:p>
        </w:tc>
        <w:tc>
          <w:tcPr>
            <w:tcW w:type="dxa" w:w="2016"/>
          </w:tcPr>
          <w:p>
            <w:r>
              <w:rPr>
                <w:sz w:val="19"/>
              </w:rPr>
              <w:t>0 – 25</w:t>
            </w:r>
          </w:p>
        </w:tc>
        <w:tc>
          <w:tcPr>
            <w:tcW w:type="dxa" w:w="6912"/>
          </w:tcPr>
          <w:p>
            <w:r>
              <w:rPr>
                <w:sz w:val="19"/>
              </w:rPr>
              <w:t>Routine monitoring; no immediate action required</w:t>
            </w:r>
          </w:p>
        </w:tc>
      </w:tr>
      <w:tr>
        <w:tc>
          <w:tcPr>
            <w:tcW w:type="dxa" w:w="1440"/>
          </w:tcPr>
          <w:p>
            <w:r>
              <w:rPr>
                <w:sz w:val="19"/>
              </w:rPr>
              <w:t>Medium</w:t>
            </w:r>
          </w:p>
        </w:tc>
        <w:tc>
          <w:tcPr>
            <w:tcW w:type="dxa" w:w="2016"/>
          </w:tcPr>
          <w:p>
            <w:r>
              <w:rPr>
                <w:sz w:val="19"/>
              </w:rPr>
              <w:t>26 – 50</w:t>
            </w:r>
          </w:p>
        </w:tc>
        <w:tc>
          <w:tcPr>
            <w:tcW w:type="dxa" w:w="6912"/>
          </w:tcPr>
          <w:p>
            <w:r>
              <w:rPr>
                <w:sz w:val="19"/>
              </w:rPr>
              <w:t>Bi-annual review; assess single-source exposure</w:t>
            </w:r>
          </w:p>
        </w:tc>
      </w:tr>
      <w:tr>
        <w:tc>
          <w:tcPr>
            <w:tcW w:type="dxa" w:w="1440"/>
          </w:tcPr>
          <w:p>
            <w:r>
              <w:rPr>
                <w:sz w:val="19"/>
              </w:rPr>
              <w:t>High</w:t>
            </w:r>
          </w:p>
        </w:tc>
        <w:tc>
          <w:tcPr>
            <w:tcW w:type="dxa" w:w="2016"/>
          </w:tcPr>
          <w:p>
            <w:r>
              <w:rPr>
                <w:sz w:val="19"/>
              </w:rPr>
              <w:t>51 – 75</w:t>
            </w:r>
          </w:p>
        </w:tc>
        <w:tc>
          <w:tcPr>
            <w:tcW w:type="dxa" w:w="6912"/>
          </w:tcPr>
          <w:p>
            <w:r>
              <w:rPr>
                <w:sz w:val="19"/>
              </w:rPr>
              <w:t>Develop alternative suppliers; review contract terms</w:t>
            </w:r>
          </w:p>
        </w:tc>
      </w:tr>
      <w:tr>
        <w:tc>
          <w:tcPr>
            <w:tcW w:type="dxa" w:w="1440"/>
          </w:tcPr>
          <w:p>
            <w:r>
              <w:rPr>
                <w:sz w:val="19"/>
              </w:rPr>
              <w:t>Critical</w:t>
            </w:r>
          </w:p>
        </w:tc>
        <w:tc>
          <w:tcPr>
            <w:tcW w:type="dxa" w:w="2016"/>
          </w:tcPr>
          <w:p>
            <w:r>
              <w:rPr>
                <w:sz w:val="19"/>
              </w:rPr>
              <w:t>76 – 100</w:t>
            </w:r>
          </w:p>
        </w:tc>
        <w:tc>
          <w:tcPr>
            <w:tcW w:type="dxa" w:w="6912"/>
          </w:tcPr>
          <w:p>
            <w:r>
              <w:rPr>
                <w:sz w:val="19"/>
              </w:rPr>
              <w:t>Urgent diversification; stock strategic buffer; escalate</w:t>
            </w:r>
          </w:p>
        </w:tc>
      </w:tr>
    </w:tbl>
    <w:p/>
    <w:p>
      <w:pPr>
        <w:spacing w:before="280" w:after="60"/>
      </w:pPr>
      <w:r>
        <w:rPr>
          <w:b/>
          <w:color w:val="F59E0B"/>
          <w:sz w:val="26"/>
        </w:rPr>
        <w:t>13.6  Single-Source Detection Logic</w:t>
      </w:r>
    </w:p>
    <w:p>
      <w:pPr>
        <w:spacing w:before="80" w:after="80"/>
        <w:ind w:left="680"/>
      </w:pPr>
      <w:r>
        <w:rPr>
          <w:rFonts w:ascii="Courier New" w:hAnsi="Courier New"/>
          <w:color w:val="10B981"/>
          <w:sz w:val="20"/>
        </w:rPr>
        <w:t>For each material_code in planning_master:</w:t>
      </w:r>
    </w:p>
    <w:p>
      <w:pPr>
        <w:spacing w:before="80" w:after="80"/>
        <w:ind w:left="680"/>
      </w:pPr>
      <w:r>
        <w:rPr>
          <w:rFonts w:ascii="Courier New" w:hAnsi="Courier New"/>
          <w:color w:val="10B981"/>
          <w:sz w:val="20"/>
        </w:rPr>
        <w:t xml:space="preserve">  supplier_count = COUNT(DISTINCT supplier_name)</w:t>
      </w:r>
    </w:p>
    <w:p>
      <w:pPr>
        <w:spacing w:before="80" w:after="80"/>
        <w:ind w:left="680"/>
      </w:pPr>
      <w:r>
        <w:rPr>
          <w:rFonts w:ascii="Courier New" w:hAnsi="Courier New"/>
          <w:color w:val="10B981"/>
          <w:sz w:val="20"/>
        </w:rPr>
        <w:t xml:space="preserve">  if supplier_count == 1: mark as single_source</w:t>
      </w:r>
    </w:p>
    <w:p>
      <w:pPr>
        <w:spacing w:before="80" w:after="80"/>
        <w:ind w:left="680"/>
      </w:pPr>
      <w:r>
        <w:rPr>
          <w:rFonts w:ascii="Courier New" w:hAnsi="Courier New"/>
          <w:color w:val="10B981"/>
          <w:sz w:val="20"/>
        </w:rPr>
      </w:r>
    </w:p>
    <w:p>
      <w:pPr>
        <w:spacing w:before="80" w:after="80"/>
        <w:ind w:left="680"/>
      </w:pPr>
      <w:r>
        <w:rPr>
          <w:rFonts w:ascii="Courier New" w:hAnsi="Courier New"/>
          <w:color w:val="10B981"/>
          <w:sz w:val="20"/>
        </w:rPr>
        <w:t>A material is sole-sourced if it appears with only one distinct supplier</w:t>
      </w:r>
    </w:p>
    <w:p>
      <w:pPr>
        <w:spacing w:before="80" w:after="80"/>
        <w:ind w:left="680"/>
      </w:pPr>
      <w:r>
        <w:rPr>
          <w:rFonts w:ascii="Courier New" w:hAnsi="Courier New"/>
          <w:color w:val="10B981"/>
          <w:sz w:val="20"/>
        </w:rPr>
        <w:t>in the combined P9+21C planning data.</w:t>
      </w:r>
    </w:p>
    <w:p>
      <w:pPr>
        <w:spacing w:after="80"/>
        <w:ind w:left="567"/>
      </w:pPr>
      <w:r>
        <w:rPr>
          <w:i/>
          <w:color w:val="64748B"/>
          <w:sz w:val="19"/>
        </w:rPr>
        <w:t>Note:  A material may have multiple potential suppliers in the ERP vendor master but still be sole-sourced in practice if only one supplier is actively listed in the planning sheets. This practical definition catches real operational risk rather than theoretical alternatives.</w:t>
      </w:r>
    </w:p>
    <w:p>
      <w:pPr>
        <w:spacing w:before="440" w:after="100"/>
        <w:pBdr>
          <w:bottom w:val="single" w:sz="6" w:space="4" w:color="00B4D8"/>
        </w:pBdr>
      </w:pPr>
      <w:r>
        <w:rPr>
          <w:b/>
          <w:color w:val="00B4D8"/>
          <w:sz w:val="34"/>
        </w:rPr>
        <w:t>14.  AI Agent Architecture &amp; Tool-Calling Loop</w:t>
      </w:r>
    </w:p>
    <w:p>
      <w:pPr>
        <w:spacing w:before="280" w:after="60"/>
      </w:pPr>
      <w:r>
        <w:rPr>
          <w:b/>
          <w:color w:val="F59E0B"/>
          <w:sz w:val="26"/>
        </w:rPr>
        <w:t>14.1  Overview</w:t>
      </w:r>
    </w:p>
    <w:p>
      <w:pPr>
        <w:spacing w:after="100"/>
      </w:pPr>
      <w:r>
        <w:rPr>
          <w:sz w:val="21"/>
        </w:rPr>
        <w:t>The AI assistant uses Anthropic's Claude Sonnet 4 model (claude-sonnet-4-20250514) with native tool-calling. Rather than operating as a static chatbot, the model actively decides which tool to call, inspects the result, and may call additional tools before composing its final response — mimicking how a human analyst would query a database, form a hypothesis, and look up additional data to confirm.</w:t>
      </w:r>
    </w:p>
    <w:p>
      <w:pPr>
        <w:spacing w:before="280" w:after="60"/>
      </w:pPr>
      <w:r>
        <w:rPr>
          <w:b/>
          <w:color w:val="F59E0B"/>
          <w:sz w:val="26"/>
        </w:rPr>
        <w:t>14.2  Registered Tools</w:t>
      </w:r>
    </w:p>
    <w:tbl>
      <w:tblPr>
        <w:tblStyle w:val="TableGrid"/>
        <w:tblW w:type="auto" w:w="0"/>
        <w:tblLook w:firstColumn="1" w:firstRow="1" w:lastColumn="0" w:lastRow="0" w:noHBand="0" w:noVBand="1" w:val="04A0"/>
      </w:tblPr>
      <w:tblGrid>
        <w:gridCol w:w="2266"/>
        <w:gridCol w:w="2266"/>
        <w:gridCol w:w="2266"/>
        <w:gridCol w:w="2266"/>
      </w:tblGrid>
      <w:tr>
        <w:tc>
          <w:tcPr>
            <w:tcW w:type="dxa" w:w="2160"/>
            <w:shd w:val="clear" w:color="auto" w:fill="0E1623"/>
          </w:tcPr>
          <w:p>
            <w:r>
              <w:rPr>
                <w:b/>
                <w:color w:val="FFFFFF"/>
                <w:sz w:val="19"/>
              </w:rPr>
              <w:t>Tool</w:t>
            </w:r>
          </w:p>
        </w:tc>
        <w:tc>
          <w:tcPr>
            <w:tcW w:type="dxa" w:w="2880"/>
            <w:shd w:val="clear" w:color="auto" w:fill="0E1623"/>
          </w:tcPr>
          <w:p>
            <w:r>
              <w:rPr>
                <w:b/>
                <w:color w:val="FFFFFF"/>
                <w:sz w:val="19"/>
              </w:rPr>
              <w:t>Inputs</w:t>
            </w:r>
          </w:p>
        </w:tc>
        <w:tc>
          <w:tcPr>
            <w:tcW w:type="dxa" w:w="3600"/>
            <w:shd w:val="clear" w:color="auto" w:fill="0E1623"/>
          </w:tcPr>
          <w:p>
            <w:r>
              <w:rPr>
                <w:b/>
                <w:color w:val="FFFFFF"/>
                <w:sz w:val="19"/>
              </w:rPr>
              <w:t>Returns</w:t>
            </w:r>
          </w:p>
        </w:tc>
        <w:tc>
          <w:tcPr>
            <w:tcW w:type="dxa" w:w="3168"/>
            <w:shd w:val="clear" w:color="auto" w:fill="0E1623"/>
          </w:tcPr>
          <w:p>
            <w:r>
              <w:rPr>
                <w:b/>
                <w:color w:val="FFFFFF"/>
                <w:sz w:val="19"/>
              </w:rPr>
              <w:t>Use Case</w:t>
            </w:r>
          </w:p>
        </w:tc>
      </w:tr>
      <w:tr>
        <w:tc>
          <w:tcPr>
            <w:tcW w:type="dxa" w:w="2160"/>
          </w:tcPr>
          <w:p>
            <w:r>
              <w:rPr>
                <w:sz w:val="19"/>
              </w:rPr>
              <w:t>query_db</w:t>
            </w:r>
          </w:p>
        </w:tc>
        <w:tc>
          <w:tcPr>
            <w:tcW w:type="dxa" w:w="2880"/>
          </w:tcPr>
          <w:p>
            <w:r>
              <w:rPr>
                <w:sz w:val="19"/>
              </w:rPr>
              <w:t>sql (SELECT only)</w:t>
            </w:r>
          </w:p>
        </w:tc>
        <w:tc>
          <w:tcPr>
            <w:tcW w:type="dxa" w:w="3600"/>
          </w:tcPr>
          <w:p>
            <w:r>
              <w:rPr>
                <w:sz w:val="19"/>
              </w:rPr>
              <w:t>Row set + column names + row count</w:t>
            </w:r>
          </w:p>
        </w:tc>
        <w:tc>
          <w:tcPr>
            <w:tcW w:type="dxa" w:w="3168"/>
          </w:tcPr>
          <w:p>
            <w:r>
              <w:rPr>
                <w:sz w:val="19"/>
              </w:rPr>
              <w:t>Ad-hoc data lookups, counts, rankings</w:t>
            </w:r>
          </w:p>
        </w:tc>
      </w:tr>
      <w:tr>
        <w:tc>
          <w:tcPr>
            <w:tcW w:type="dxa" w:w="2160"/>
          </w:tcPr>
          <w:p>
            <w:r>
              <w:rPr>
                <w:sz w:val="19"/>
              </w:rPr>
              <w:t>forecast_material</w:t>
            </w:r>
          </w:p>
        </w:tc>
        <w:tc>
          <w:tcPr>
            <w:tcW w:type="dxa" w:w="2880"/>
          </w:tcPr>
          <w:p>
            <w:r>
              <w:rPr>
                <w:sz w:val="19"/>
              </w:rPr>
              <w:t>material_code</w:t>
            </w:r>
          </w:p>
        </w:tc>
        <w:tc>
          <w:tcPr>
            <w:tcW w:type="dxa" w:w="3600"/>
          </w:tcPr>
          <w:p>
            <w:r>
              <w:rPr>
                <w:sz w:val="19"/>
              </w:rPr>
              <w:t>3-yr history, forecast, SS at 3 SLs</w:t>
            </w:r>
          </w:p>
        </w:tc>
        <w:tc>
          <w:tcPr>
            <w:tcW w:type="dxa" w:w="3168"/>
          </w:tcPr>
          <w:p>
            <w:r>
              <w:rPr>
                <w:sz w:val="19"/>
              </w:rPr>
              <w:t>Per-material demand + SS analysis</w:t>
            </w:r>
          </w:p>
        </w:tc>
      </w:tr>
      <w:tr>
        <w:tc>
          <w:tcPr>
            <w:tcW w:type="dxa" w:w="2160"/>
          </w:tcPr>
          <w:p>
            <w:r>
              <w:rPr>
                <w:sz w:val="19"/>
              </w:rPr>
              <w:t>supplier_risk</w:t>
            </w:r>
          </w:p>
        </w:tc>
        <w:tc>
          <w:tcPr>
            <w:tcW w:type="dxa" w:w="2880"/>
          </w:tcPr>
          <w:p>
            <w:r>
              <w:rPr>
                <w:sz w:val="19"/>
              </w:rPr>
              <w:t>supplier_name</w:t>
            </w:r>
          </w:p>
        </w:tc>
        <w:tc>
          <w:tcPr>
            <w:tcW w:type="dxa" w:w="3600"/>
          </w:tcPr>
          <w:p>
            <w:r>
              <w:rPr>
                <w:sz w:val="19"/>
              </w:rPr>
              <w:t>Full risk scorecard row</w:t>
            </w:r>
          </w:p>
        </w:tc>
        <w:tc>
          <w:tcPr>
            <w:tcW w:type="dxa" w:w="3168"/>
          </w:tcPr>
          <w:p>
            <w:r>
              <w:rPr>
                <w:sz w:val="19"/>
              </w:rPr>
              <w:t>Supplier deep-dive questions</w:t>
            </w:r>
          </w:p>
        </w:tc>
      </w:tr>
      <w:tr>
        <w:tc>
          <w:tcPr>
            <w:tcW w:type="dxa" w:w="2160"/>
          </w:tcPr>
          <w:p>
            <w:r>
              <w:rPr>
                <w:sz w:val="19"/>
              </w:rPr>
              <w:t>draft_pr</w:t>
            </w:r>
          </w:p>
        </w:tc>
        <w:tc>
          <w:tcPr>
            <w:tcW w:type="dxa" w:w="2880"/>
          </w:tcPr>
          <w:p>
            <w:r>
              <w:rPr>
                <w:sz w:val="19"/>
              </w:rPr>
              <w:t>material_code, qty, supplier, justification</w:t>
            </w:r>
          </w:p>
        </w:tc>
        <w:tc>
          <w:tcPr>
            <w:tcW w:type="dxa" w:w="3600"/>
          </w:tcPr>
          <w:p>
            <w:r>
              <w:rPr>
                <w:sz w:val="19"/>
              </w:rPr>
              <w:t>Structured PR row (DRAFT status)</w:t>
            </w:r>
          </w:p>
        </w:tc>
        <w:tc>
          <w:tcPr>
            <w:tcW w:type="dxa" w:w="3168"/>
          </w:tcPr>
          <w:p>
            <w:r>
              <w:rPr>
                <w:sz w:val="19"/>
              </w:rPr>
              <w:t>Initiating purchase requisitions</w:t>
            </w:r>
          </w:p>
        </w:tc>
      </w:tr>
    </w:tbl>
    <w:p/>
    <w:p>
      <w:pPr>
        <w:spacing w:before="280" w:after="60"/>
      </w:pPr>
      <w:r>
        <w:rPr>
          <w:b/>
          <w:color w:val="F59E0B"/>
          <w:sz w:val="26"/>
        </w:rPr>
        <w:t>14.3  Tool-Calling Loop (Agentic Pattern)</w:t>
      </w:r>
    </w:p>
    <w:p>
      <w:pPr>
        <w:spacing w:after="100"/>
      </w:pPr>
      <w:r>
        <w:rPr>
          <w:sz w:val="21"/>
        </w:rPr>
        <w:t>The core loop in agent_expert.chat() follows this sequence for each user message:</w:t>
      </w:r>
    </w:p>
    <w:p>
      <w:pPr>
        <w:spacing w:before="80" w:after="80"/>
        <w:ind w:left="680"/>
      </w:pPr>
      <w:r>
        <w:rPr>
          <w:rFonts w:ascii="Courier New" w:hAnsi="Courier New"/>
          <w:color w:val="10B981"/>
          <w:sz w:val="20"/>
        </w:rPr>
        <w:t>1.  System prompt is assembled: schema snapshot + domain knowledge + tool specs.</w:t>
      </w:r>
    </w:p>
    <w:p>
      <w:pPr>
        <w:spacing w:before="80" w:after="80"/>
        <w:ind w:left="680"/>
      </w:pPr>
      <w:r>
        <w:rPr>
          <w:rFonts w:ascii="Courier New" w:hAnsi="Courier New"/>
          <w:color w:val="10B981"/>
          <w:sz w:val="20"/>
        </w:rPr>
        <w:t>2.  User message is appended to conversation history.</w:t>
      </w:r>
    </w:p>
    <w:p>
      <w:pPr>
        <w:spacing w:before="80" w:after="80"/>
        <w:ind w:left="680"/>
      </w:pPr>
      <w:r>
        <w:rPr>
          <w:rFonts w:ascii="Courier New" w:hAnsi="Courier New"/>
          <w:color w:val="10B981"/>
          <w:sz w:val="20"/>
        </w:rPr>
        <w:t>3.  Claude API is called with model + tools + history.</w:t>
      </w:r>
    </w:p>
    <w:p>
      <w:pPr>
        <w:spacing w:before="80" w:after="80"/>
        <w:ind w:left="680"/>
      </w:pPr>
      <w:r>
        <w:rPr>
          <w:rFonts w:ascii="Courier New" w:hAnsi="Courier New"/>
          <w:color w:val="10B981"/>
          <w:sz w:val="20"/>
        </w:rPr>
        <w:t>4.  If stop_reason == 'tool_use':</w:t>
      </w:r>
    </w:p>
    <w:p>
      <w:pPr>
        <w:spacing w:before="80" w:after="80"/>
        <w:ind w:left="680"/>
      </w:pPr>
      <w:r>
        <w:rPr>
          <w:rFonts w:ascii="Courier New" w:hAnsi="Courier New"/>
          <w:color w:val="10B981"/>
          <w:sz w:val="20"/>
        </w:rPr>
        <w:t xml:space="preserve">      a.  Extract all tool_use blocks from the response.</w:t>
      </w:r>
    </w:p>
    <w:p>
      <w:pPr>
        <w:spacing w:before="80" w:after="80"/>
        <w:ind w:left="680"/>
      </w:pPr>
      <w:r>
        <w:rPr>
          <w:rFonts w:ascii="Courier New" w:hAnsi="Courier New"/>
          <w:color w:val="10B981"/>
          <w:sz w:val="20"/>
        </w:rPr>
        <w:t xml:space="preserve">      b.  Dispatch each tool call to the appropriate Python function.</w:t>
      </w:r>
    </w:p>
    <w:p>
      <w:pPr>
        <w:spacing w:before="80" w:after="80"/>
        <w:ind w:left="680"/>
      </w:pPr>
      <w:r>
        <w:rPr>
          <w:rFonts w:ascii="Courier New" w:hAnsi="Courier New"/>
          <w:color w:val="10B981"/>
          <w:sz w:val="20"/>
        </w:rPr>
        <w:t xml:space="preserve">      c.  Append tool results to conversation history.</w:t>
      </w:r>
    </w:p>
    <w:p>
      <w:pPr>
        <w:spacing w:before="80" w:after="80"/>
        <w:ind w:left="680"/>
      </w:pPr>
      <w:r>
        <w:rPr>
          <w:rFonts w:ascii="Courier New" w:hAnsi="Courier New"/>
          <w:color w:val="10B981"/>
          <w:sz w:val="20"/>
        </w:rPr>
        <w:t xml:space="preserve">      d.  Loop back to step 3 (up to MAX_TOOL_ITERATIONS = 8 times).</w:t>
      </w:r>
    </w:p>
    <w:p>
      <w:pPr>
        <w:spacing w:before="80" w:after="80"/>
        <w:ind w:left="680"/>
      </w:pPr>
      <w:r>
        <w:rPr>
          <w:rFonts w:ascii="Courier New" w:hAnsi="Courier New"/>
          <w:color w:val="10B981"/>
          <w:sz w:val="20"/>
        </w:rPr>
        <w:t>5.  If stop_reason == 'end_turn': extract text, return to UI.</w:t>
      </w:r>
    </w:p>
    <w:p>
      <w:pPr>
        <w:spacing w:after="100"/>
      </w:pPr>
      <w:r>
        <w:rPr>
          <w:sz w:val="21"/>
        </w:rPr>
        <w:t>This multi-step loop allows Claude to, for example, first query all critical materials, then look up the risk score of the top supplier, and then draft purchase requisitions — all within a single user query.</w:t>
      </w:r>
    </w:p>
    <w:p>
      <w:pPr>
        <w:spacing w:before="280" w:after="60"/>
      </w:pPr>
      <w:r>
        <w:rPr>
          <w:b/>
          <w:color w:val="F59E0B"/>
          <w:sz w:val="26"/>
        </w:rPr>
        <w:t>14.4  SQL Security Guardrails</w:t>
      </w:r>
    </w:p>
    <w:p>
      <w:pPr>
        <w:spacing w:after="100"/>
      </w:pPr>
      <w:r>
        <w:rPr>
          <w:sz w:val="21"/>
        </w:rPr>
        <w:t>The query_db tool applies two independent layers of protection:</w:t>
      </w:r>
    </w:p>
    <w:p>
      <w:pPr>
        <w:spacing w:after="60"/>
        <w:ind w:left="454"/>
      </w:pPr>
      <w:r>
        <w:rPr>
          <w:b/>
          <w:color w:val="00B4D8"/>
          <w:sz w:val="21"/>
        </w:rPr>
        <w:t xml:space="preserve">Layer 1 — Keyword Regex:  </w:t>
      </w:r>
      <w:r>
        <w:rPr>
          <w:sz w:val="21"/>
        </w:rPr>
        <w:t>A regex blocks all DML/DDL keywords: INSERT, UPDATE, DELETE, DROP, ALTER, CREATE, ATTACH, DETACH, PRAGMA, REPLACE, TRUNCATE, VACUUM.</w:t>
      </w:r>
    </w:p>
    <w:p>
      <w:pPr>
        <w:spacing w:after="60"/>
        <w:ind w:left="454"/>
      </w:pPr>
      <w:r>
        <w:rPr>
          <w:b/>
          <w:color w:val="00B4D8"/>
          <w:sz w:val="21"/>
        </w:rPr>
        <w:t xml:space="preserve">Layer 2 — AST Parse:  </w:t>
      </w:r>
      <w:r>
        <w:rPr>
          <w:sz w:val="21"/>
        </w:rPr>
        <w:t>sqlglot parses the SQL and verifies it produces exactly one SELECT statement. Any compound statement (e.g., SELECT; DROP) is rejected even if Layer 1 doesn't catch it.</w:t>
      </w:r>
    </w:p>
    <w:p>
      <w:pPr>
        <w:spacing w:after="60"/>
        <w:ind w:left="454"/>
      </w:pPr>
      <w:r>
        <w:rPr>
          <w:b/>
          <w:color w:val="00B4D8"/>
          <w:sz w:val="21"/>
        </w:rPr>
        <w:t xml:space="preserve">Layer 3 — Connection Pragma:  </w:t>
      </w:r>
      <w:r>
        <w:rPr>
          <w:sz w:val="21"/>
        </w:rPr>
        <w:t>The SQLite connection is opened with PRAGMA query_only = 1, which makes the database connection refuse to execute any write operation at the engine level.</w:t>
      </w:r>
    </w:p>
    <w:p>
      <w:pPr>
        <w:spacing w:after="60"/>
        <w:ind w:left="454"/>
      </w:pPr>
      <w:r>
        <w:rPr>
          <w:b/>
          <w:color w:val="00B4D8"/>
          <w:sz w:val="21"/>
        </w:rPr>
        <w:t xml:space="preserve">Auto-LIMIT:  </w:t>
      </w:r>
      <w:r>
        <w:rPr>
          <w:sz w:val="21"/>
        </w:rPr>
        <w:t>If the SELECT lacks a LIMIT clause, one is appended automatically (LIMIT 500) to prevent unbounded result sets from filling the LLM's context window.</w:t>
      </w:r>
    </w:p>
    <w:p>
      <w:pPr>
        <w:spacing w:before="280" w:after="60"/>
      </w:pPr>
      <w:r>
        <w:rPr>
          <w:b/>
          <w:color w:val="F59E0B"/>
          <w:sz w:val="26"/>
        </w:rPr>
        <w:t>14.5  Conversation Memory &amp; Context Management</w:t>
      </w:r>
    </w:p>
    <w:p>
      <w:pPr>
        <w:spacing w:after="100"/>
      </w:pPr>
      <w:r>
        <w:rPr>
          <w:sz w:val="21"/>
        </w:rPr>
        <w:t>The full conversation history (user messages + assistant messages + tool result messages) is stored in Streamlit session_state and passed to every API call. This gives the model memory across turns — it can refer back to data it fetched two questions ago.</w:t>
      </w:r>
    </w:p>
    <w:p>
      <w:pPr>
        <w:spacing w:before="80" w:after="80"/>
        <w:ind w:left="680"/>
      </w:pPr>
      <w:r>
        <w:rPr>
          <w:rFonts w:ascii="Courier New" w:hAnsi="Courier New"/>
          <w:color w:val="10B981"/>
          <w:sz w:val="20"/>
        </w:rPr>
        <w:t>Memory cap: last 20 user/assistant turns (= up to 60 messages) are retained.</w:t>
      </w:r>
    </w:p>
    <w:p>
      <w:pPr>
        <w:spacing w:before="80" w:after="80"/>
        <w:ind w:left="680"/>
      </w:pPr>
      <w:r>
        <w:rPr>
          <w:rFonts w:ascii="Courier New" w:hAnsi="Courier New"/>
          <w:color w:val="10B981"/>
          <w:sz w:val="20"/>
        </w:rPr>
        <w:t>Older messages are trimmed from the front to prevent context window overflow.</w:t>
      </w:r>
    </w:p>
    <w:p>
      <w:pPr>
        <w:spacing w:after="100"/>
      </w:pPr>
      <w:r>
        <w:rPr>
          <w:sz w:val="21"/>
        </w:rPr>
        <w:t>Tool result payloads are capped at 8,000 characters before being added to history. If a result is truncated, the agent is informed so it can reformulate a more targeted query.</w:t>
      </w:r>
    </w:p>
    <w:p>
      <w:pPr>
        <w:spacing w:before="280" w:after="60"/>
      </w:pPr>
      <w:r>
        <w:rPr>
          <w:b/>
          <w:color w:val="F59E0B"/>
          <w:sz w:val="26"/>
        </w:rPr>
        <w:t>14.6  System Prompt Construction</w:t>
      </w:r>
    </w:p>
    <w:p>
      <w:pPr>
        <w:spacing w:after="100"/>
      </w:pPr>
      <w:r>
        <w:rPr>
          <w:sz w:val="21"/>
        </w:rPr>
        <w:t>The system prompt is dynamically assembled at every chat() call and contains:</w:t>
      </w:r>
    </w:p>
    <w:p>
      <w:pPr>
        <w:pStyle w:val="ListBullet"/>
        <w:spacing w:after="60"/>
        <w:ind w:left="454"/>
      </w:pPr>
      <w:r>
        <w:rPr>
          <w:sz w:val="21"/>
        </w:rPr>
        <w:t>Role definition: Senior Procurement Consultant, 20+ years manufacturing experience</w:t>
      </w:r>
    </w:p>
    <w:p>
      <w:pPr>
        <w:pStyle w:val="ListBullet"/>
        <w:spacing w:after="60"/>
        <w:ind w:left="454"/>
      </w:pPr>
      <w:r>
        <w:rPr>
          <w:sz w:val="21"/>
        </w:rPr>
        <w:t>Operating environment: P9 + 21C warehouses, 419 AT + 419 PD historical</w:t>
      </w:r>
    </w:p>
    <w:p>
      <w:pPr>
        <w:pStyle w:val="ListBullet"/>
        <w:spacing w:after="60"/>
        <w:ind w:left="454"/>
      </w:pPr>
      <w:r>
        <w:rPr>
          <w:sz w:val="21"/>
        </w:rPr>
        <w:t>Live database schema: table names, column names, row counts (from PRAGMA introspection)</w:t>
      </w:r>
    </w:p>
    <w:p>
      <w:pPr>
        <w:pStyle w:val="ListBullet"/>
        <w:spacing w:after="60"/>
        <w:ind w:left="454"/>
      </w:pPr>
      <w:r>
        <w:rPr>
          <w:sz w:val="21"/>
        </w:rPr>
        <w:t>Domain knowledge base: TBO/ROP formulas, ABC-XYZ matrix, KPI targets, SS reduction matrix</w:t>
      </w:r>
    </w:p>
    <w:p>
      <w:pPr>
        <w:pStyle w:val="ListBullet"/>
        <w:spacing w:after="60"/>
        <w:ind w:left="454"/>
      </w:pPr>
      <w:r>
        <w:rPr>
          <w:sz w:val="21"/>
        </w:rPr>
        <w:t>Response style guidelines: structured format for strategic questions, concise for lookups</w:t>
      </w:r>
    </w:p>
    <w:p>
      <w:pPr>
        <w:pStyle w:val="ListBullet"/>
        <w:spacing w:after="60"/>
        <w:ind w:left="454"/>
      </w:pPr>
      <w:r>
        <w:rPr>
          <w:sz w:val="21"/>
        </w:rPr>
        <w:t>Tool descriptions and input schemas</w:t>
      </w:r>
    </w:p>
    <w:p>
      <w:pPr>
        <w:spacing w:after="80"/>
        <w:ind w:left="567"/>
      </w:pPr>
      <w:r>
        <w:rPr>
          <w:i/>
          <w:color w:val="64748B"/>
          <w:sz w:val="19"/>
        </w:rPr>
        <w:t>Note:  Rebuilding the system prompt at every call (rather than caching it) ensures that the model always sees the current row counts and schema, which is important after a database rebuild.</w:t>
      </w:r>
    </w:p>
    <w:p>
      <w:pPr>
        <w:spacing w:before="280" w:after="60"/>
      </w:pPr>
      <w:r>
        <w:rPr>
          <w:b/>
          <w:color w:val="F59E0B"/>
          <w:sz w:val="26"/>
        </w:rPr>
        <w:t>14.7  draft_pr: Purchase Requisition Flow</w:t>
      </w:r>
    </w:p>
    <w:p>
      <w:pPr>
        <w:spacing w:after="100"/>
      </w:pPr>
      <w:r>
        <w:rPr>
          <w:sz w:val="21"/>
        </w:rPr>
        <w:t>The draft_pr tool does NOT submit anything to the ERP system. It constructs a structured Python dict with all fields required for a PR:</w:t>
      </w:r>
    </w:p>
    <w:p>
      <w:pPr>
        <w:spacing w:before="80" w:after="80"/>
        <w:ind w:left="680"/>
      </w:pPr>
      <w:r>
        <w:rPr>
          <w:rFonts w:ascii="Courier New" w:hAnsi="Courier New"/>
          <w:color w:val="10B981"/>
          <w:sz w:val="20"/>
        </w:rPr>
        <w:t xml:space="preserve">  status, material_code, description, warehouse, supplier,</w:t>
      </w:r>
    </w:p>
    <w:p>
      <w:pPr>
        <w:spacing w:before="80" w:after="80"/>
        <w:ind w:left="680"/>
      </w:pPr>
      <w:r>
        <w:rPr>
          <w:rFonts w:ascii="Courier New" w:hAnsi="Courier New"/>
          <w:color w:val="10B981"/>
          <w:sz w:val="20"/>
        </w:rPr>
        <w:t xml:space="preserve">  qty, unit_price, order_value, lead_time_weeks, justification, drafted_at</w:t>
      </w:r>
    </w:p>
    <w:p>
      <w:pPr>
        <w:spacing w:after="100"/>
      </w:pPr>
      <w:r>
        <w:rPr>
          <w:sz w:val="21"/>
        </w:rPr>
        <w:t>The Streamlit UI accumulates draft_pr outputs in session_state['pr_drafts']. Users can review the accumulated list and download it as an Excel file for submission into the ERP system. This design ensures a human-in-the-loop approval step before any order is placed.</w:t>
      </w:r>
    </w:p>
    <w:p>
      <w:pPr>
        <w:spacing w:before="440" w:after="100"/>
        <w:pBdr>
          <w:bottom w:val="single" w:sz="6" w:space="4" w:color="00B4D8"/>
        </w:pBdr>
      </w:pPr>
      <w:r>
        <w:rPr>
          <w:b/>
          <w:color w:val="00B4D8"/>
          <w:sz w:val="34"/>
        </w:rPr>
        <w:t>15.  Key Performance Indicators (KPI) Targets</w:t>
      </w:r>
    </w:p>
    <w:tbl>
      <w:tblPr>
        <w:tblStyle w:val="TableGrid"/>
        <w:tblW w:type="auto" w:w="0"/>
        <w:tblLook w:firstColumn="1" w:firstRow="1" w:lastColumn="0" w:lastRow="0" w:noHBand="0" w:noVBand="1" w:val="04A0"/>
      </w:tblPr>
      <w:tblGrid>
        <w:gridCol w:w="2266"/>
        <w:gridCol w:w="2266"/>
        <w:gridCol w:w="2266"/>
        <w:gridCol w:w="2266"/>
      </w:tblGrid>
      <w:tr>
        <w:tc>
          <w:tcPr>
            <w:tcW w:type="dxa" w:w="2736"/>
            <w:shd w:val="clear" w:color="auto" w:fill="0E1623"/>
          </w:tcPr>
          <w:p>
            <w:r>
              <w:rPr>
                <w:b/>
                <w:color w:val="FFFFFF"/>
                <w:sz w:val="19"/>
              </w:rPr>
              <w:t>KPI</w:t>
            </w:r>
          </w:p>
        </w:tc>
        <w:tc>
          <w:tcPr>
            <w:tcW w:type="dxa" w:w="4032"/>
            <w:shd w:val="clear" w:color="auto" w:fill="0E1623"/>
          </w:tcPr>
          <w:p>
            <w:r>
              <w:rPr>
                <w:b/>
                <w:color w:val="FFFFFF"/>
                <w:sz w:val="19"/>
              </w:rPr>
              <w:t>Formula</w:t>
            </w:r>
          </w:p>
        </w:tc>
        <w:tc>
          <w:tcPr>
            <w:tcW w:type="dxa" w:w="1872"/>
            <w:shd w:val="clear" w:color="auto" w:fill="0E1623"/>
          </w:tcPr>
          <w:p>
            <w:r>
              <w:rPr>
                <w:b/>
                <w:color w:val="FFFFFF"/>
                <w:sz w:val="19"/>
              </w:rPr>
              <w:t>Target</w:t>
            </w:r>
          </w:p>
        </w:tc>
        <w:tc>
          <w:tcPr>
            <w:tcW w:type="dxa" w:w="3168"/>
            <w:shd w:val="clear" w:color="auto" w:fill="0E1623"/>
          </w:tcPr>
          <w:p>
            <w:r>
              <w:rPr>
                <w:b/>
                <w:color w:val="FFFFFF"/>
                <w:sz w:val="19"/>
              </w:rPr>
              <w:t>Direction</w:t>
            </w:r>
          </w:p>
        </w:tc>
      </w:tr>
      <w:tr>
        <w:tc>
          <w:tcPr>
            <w:tcW w:type="dxa" w:w="2736"/>
          </w:tcPr>
          <w:p>
            <w:r>
              <w:rPr>
                <w:sz w:val="19"/>
              </w:rPr>
              <w:t>Inventory Turnover Ratio</w:t>
            </w:r>
          </w:p>
        </w:tc>
        <w:tc>
          <w:tcPr>
            <w:tcW w:type="dxa" w:w="4032"/>
          </w:tcPr>
          <w:p>
            <w:r>
              <w:rPr>
                <w:sz w:val="19"/>
              </w:rPr>
              <w:t>avg_annual_consumption / total_stock_qty</w:t>
            </w:r>
          </w:p>
        </w:tc>
        <w:tc>
          <w:tcPr>
            <w:tcW w:type="dxa" w:w="1872"/>
          </w:tcPr>
          <w:p>
            <w:r>
              <w:rPr>
                <w:sz w:val="19"/>
              </w:rPr>
              <w:t>8–12×</w:t>
            </w:r>
          </w:p>
        </w:tc>
        <w:tc>
          <w:tcPr>
            <w:tcW w:type="dxa" w:w="3168"/>
          </w:tcPr>
          <w:p>
            <w:r>
              <w:rPr>
                <w:sz w:val="19"/>
              </w:rPr>
              <w:t>Higher is better (faster stock rotation)</w:t>
            </w:r>
          </w:p>
        </w:tc>
      </w:tr>
      <w:tr>
        <w:tc>
          <w:tcPr>
            <w:tcW w:type="dxa" w:w="2736"/>
          </w:tcPr>
          <w:p>
            <w:r>
              <w:rPr>
                <w:sz w:val="19"/>
              </w:rPr>
              <w:t>Days of Inventory (DOI)</w:t>
            </w:r>
          </w:p>
        </w:tc>
        <w:tc>
          <w:tcPr>
            <w:tcW w:type="dxa" w:w="4032"/>
          </w:tcPr>
          <w:p>
            <w:r>
              <w:rPr>
                <w:sz w:val="19"/>
              </w:rPr>
              <w:t>total_stock_qty / avg_daily_consumption</w:t>
            </w:r>
          </w:p>
        </w:tc>
        <w:tc>
          <w:tcPr>
            <w:tcW w:type="dxa" w:w="1872"/>
          </w:tcPr>
          <w:p>
            <w:r>
              <w:rPr>
                <w:sz w:val="19"/>
              </w:rPr>
              <w:t>30–45 days</w:t>
            </w:r>
          </w:p>
        </w:tc>
        <w:tc>
          <w:tcPr>
            <w:tcW w:type="dxa" w:w="3168"/>
          </w:tcPr>
          <w:p>
            <w:r>
              <w:rPr>
                <w:sz w:val="19"/>
              </w:rPr>
              <w:t>Lower = less capital tied up; too low risks stockouts</w:t>
            </w:r>
          </w:p>
        </w:tc>
      </w:tr>
      <w:tr>
        <w:tc>
          <w:tcPr>
            <w:tcW w:type="dxa" w:w="2736"/>
          </w:tcPr>
          <w:p>
            <w:r>
              <w:rPr>
                <w:sz w:val="19"/>
              </w:rPr>
              <w:t>Safety Stock Compliance</w:t>
            </w:r>
          </w:p>
        </w:tc>
        <w:tc>
          <w:tcPr>
            <w:tcW w:type="dxa" w:w="4032"/>
          </w:tcPr>
          <w:p>
            <w:r>
              <w:rPr>
                <w:sz w:val="19"/>
              </w:rPr>
              <w:t>% materials where available_inventory ≥ safety_stock</w:t>
            </w:r>
          </w:p>
        </w:tc>
        <w:tc>
          <w:tcPr>
            <w:tcW w:type="dxa" w:w="1872"/>
          </w:tcPr>
          <w:p>
            <w:r>
              <w:rPr>
                <w:sz w:val="19"/>
              </w:rPr>
              <w:t>&gt; 95%</w:t>
            </w:r>
          </w:p>
        </w:tc>
        <w:tc>
          <w:tcPr>
            <w:tcW w:type="dxa" w:w="3168"/>
          </w:tcPr>
          <w:p>
            <w:r>
              <w:rPr>
                <w:sz w:val="19"/>
              </w:rPr>
              <w:t>Higher is better</w:t>
            </w:r>
          </w:p>
        </w:tc>
      </w:tr>
      <w:tr>
        <w:tc>
          <w:tcPr>
            <w:tcW w:type="dxa" w:w="2736"/>
          </w:tcPr>
          <w:p>
            <w:r>
              <w:rPr>
                <w:sz w:val="19"/>
              </w:rPr>
              <w:t>Stockout Rate</w:t>
            </w:r>
          </w:p>
        </w:tc>
        <w:tc>
          <w:tcPr>
            <w:tcW w:type="dxa" w:w="4032"/>
          </w:tcPr>
          <w:p>
            <w:r>
              <w:rPr>
                <w:sz w:val="19"/>
              </w:rPr>
              <w:t>% replenishment cycles with a stockout event</w:t>
            </w:r>
          </w:p>
        </w:tc>
        <w:tc>
          <w:tcPr>
            <w:tcW w:type="dxa" w:w="1872"/>
          </w:tcPr>
          <w:p>
            <w:r>
              <w:rPr>
                <w:sz w:val="19"/>
              </w:rPr>
              <w:t>&lt; 3%</w:t>
            </w:r>
          </w:p>
        </w:tc>
        <w:tc>
          <w:tcPr>
            <w:tcW w:type="dxa" w:w="3168"/>
          </w:tcPr>
          <w:p>
            <w:r>
              <w:rPr>
                <w:sz w:val="19"/>
              </w:rPr>
              <w:t>Lower is better</w:t>
            </w:r>
          </w:p>
        </w:tc>
      </w:tr>
      <w:tr>
        <w:tc>
          <w:tcPr>
            <w:tcW w:type="dxa" w:w="2736"/>
          </w:tcPr>
          <w:p>
            <w:r>
              <w:rPr>
                <w:sz w:val="19"/>
              </w:rPr>
              <w:t>Dead Stock %</w:t>
            </w:r>
          </w:p>
        </w:tc>
        <w:tc>
          <w:tcPr>
            <w:tcW w:type="dxa" w:w="4032"/>
          </w:tcPr>
          <w:p>
            <w:r>
              <w:rPr>
                <w:sz w:val="19"/>
              </w:rPr>
              <w:t>% items with zero consumption in trailing 12 months</w:t>
            </w:r>
          </w:p>
        </w:tc>
        <w:tc>
          <w:tcPr>
            <w:tcW w:type="dxa" w:w="1872"/>
          </w:tcPr>
          <w:p>
            <w:r>
              <w:rPr>
                <w:sz w:val="19"/>
              </w:rPr>
              <w:t>&lt; 2%</w:t>
            </w:r>
          </w:p>
        </w:tc>
        <w:tc>
          <w:tcPr>
            <w:tcW w:type="dxa" w:w="3168"/>
          </w:tcPr>
          <w:p>
            <w:r>
              <w:rPr>
                <w:sz w:val="19"/>
              </w:rPr>
              <w:t>Lower is better</w:t>
            </w:r>
          </w:p>
        </w:tc>
      </w:tr>
      <w:tr>
        <w:tc>
          <w:tcPr>
            <w:tcW w:type="dxa" w:w="2736"/>
          </w:tcPr>
          <w:p>
            <w:r>
              <w:rPr>
                <w:sz w:val="19"/>
              </w:rPr>
              <w:t>Critical Materials Count</w:t>
            </w:r>
          </w:p>
        </w:tc>
        <w:tc>
          <w:tcPr>
            <w:tcW w:type="dxa" w:w="4032"/>
          </w:tcPr>
          <w:p>
            <w:r>
              <w:rPr>
                <w:sz w:val="19"/>
              </w:rPr>
              <w:t>COUNT(is_critical = 1)</w:t>
            </w:r>
          </w:p>
        </w:tc>
        <w:tc>
          <w:tcPr>
            <w:tcW w:type="dxa" w:w="1872"/>
          </w:tcPr>
          <w:p>
            <w:r>
              <w:rPr>
                <w:sz w:val="19"/>
              </w:rPr>
              <w:t>0 (aspirational)</w:t>
            </w:r>
          </w:p>
        </w:tc>
        <w:tc>
          <w:tcPr>
            <w:tcW w:type="dxa" w:w="3168"/>
          </w:tcPr>
          <w:p>
            <w:r>
              <w:rPr>
                <w:sz w:val="19"/>
              </w:rPr>
              <w:t>Lower is better</w:t>
            </w:r>
          </w:p>
        </w:tc>
      </w:tr>
      <w:tr>
        <w:tc>
          <w:tcPr>
            <w:tcW w:type="dxa" w:w="2736"/>
          </w:tcPr>
          <w:p>
            <w:r>
              <w:rPr>
                <w:sz w:val="19"/>
              </w:rPr>
              <w:t>TBO Order Value</w:t>
            </w:r>
          </w:p>
        </w:tc>
        <w:tc>
          <w:tcPr>
            <w:tcW w:type="dxa" w:w="4032"/>
          </w:tcPr>
          <w:p>
            <w:r>
              <w:rPr>
                <w:sz w:val="19"/>
              </w:rPr>
              <w:t>Σ order_amount where tbo_qty &gt; 0</w:t>
            </w:r>
          </w:p>
        </w:tc>
        <w:tc>
          <w:tcPr>
            <w:tcW w:type="dxa" w:w="1872"/>
          </w:tcPr>
          <w:p>
            <w:r>
              <w:rPr>
                <w:sz w:val="19"/>
              </w:rPr>
              <w:t>Cleared within planning cycle</w:t>
            </w:r>
          </w:p>
        </w:tc>
        <w:tc>
          <w:tcPr>
            <w:tcW w:type="dxa" w:w="3168"/>
          </w:tcPr>
          <w:p>
            <w:r>
              <w:rPr>
                <w:sz w:val="19"/>
              </w:rPr>
              <w:t>Should not accumulate across cycles</w:t>
            </w:r>
          </w:p>
        </w:tc>
      </w:tr>
      <w:tr>
        <w:tc>
          <w:tcPr>
            <w:tcW w:type="dxa" w:w="2736"/>
          </w:tcPr>
          <w:p>
            <w:r>
              <w:rPr>
                <w:sz w:val="19"/>
              </w:rPr>
              <w:t>Supplier Risk — Critical Tier</w:t>
            </w:r>
          </w:p>
        </w:tc>
        <w:tc>
          <w:tcPr>
            <w:tcW w:type="dxa" w:w="4032"/>
          </w:tcPr>
          <w:p>
            <w:r>
              <w:rPr>
                <w:sz w:val="19"/>
              </w:rPr>
              <w:t>COUNT(risk_tier = 'Critical')</w:t>
            </w:r>
          </w:p>
        </w:tc>
        <w:tc>
          <w:tcPr>
            <w:tcW w:type="dxa" w:w="1872"/>
          </w:tcPr>
          <w:p>
            <w:r>
              <w:rPr>
                <w:sz w:val="19"/>
              </w:rPr>
              <w:t>0 (aspirational)</w:t>
            </w:r>
          </w:p>
        </w:tc>
        <w:tc>
          <w:tcPr>
            <w:tcW w:type="dxa" w:w="3168"/>
          </w:tcPr>
          <w:p>
            <w:r>
              <w:rPr>
                <w:sz w:val="19"/>
              </w:rPr>
              <w:t>Reduce through diversification</w:t>
            </w:r>
          </w:p>
        </w:tc>
      </w:tr>
      <w:tr>
        <w:tc>
          <w:tcPr>
            <w:tcW w:type="dxa" w:w="2736"/>
          </w:tcPr>
          <w:p>
            <w:r>
              <w:rPr>
                <w:sz w:val="19"/>
              </w:rPr>
              <w:t>Spend Concentration (Top 5)</w:t>
            </w:r>
          </w:p>
        </w:tc>
        <w:tc>
          <w:tcPr>
            <w:tcW w:type="dxa" w:w="4032"/>
          </w:tcPr>
          <w:p>
            <w:r>
              <w:rPr>
                <w:sz w:val="19"/>
              </w:rPr>
              <w:t>Σ spend_pct for top 5 suppliers</w:t>
            </w:r>
          </w:p>
        </w:tc>
        <w:tc>
          <w:tcPr>
            <w:tcW w:type="dxa" w:w="1872"/>
          </w:tcPr>
          <w:p>
            <w:r>
              <w:rPr>
                <w:sz w:val="19"/>
              </w:rPr>
              <w:t>&lt; 50%</w:t>
            </w:r>
          </w:p>
        </w:tc>
        <w:tc>
          <w:tcPr>
            <w:tcW w:type="dxa" w:w="3168"/>
          </w:tcPr>
          <w:p>
            <w:r>
              <w:rPr>
                <w:sz w:val="19"/>
              </w:rPr>
              <w:t>Lower = less concentration risk</w:t>
            </w:r>
          </w:p>
        </w:tc>
      </w:tr>
      <w:tr>
        <w:tc>
          <w:tcPr>
            <w:tcW w:type="dxa" w:w="2736"/>
          </w:tcPr>
          <w:p>
            <w:r>
              <w:rPr>
                <w:sz w:val="19"/>
              </w:rPr>
              <w:t>Excess Stock Value</w:t>
            </w:r>
          </w:p>
        </w:tc>
        <w:tc>
          <w:tcPr>
            <w:tcW w:type="dxa" w:w="4032"/>
          </w:tcPr>
          <w:p>
            <w:r>
              <w:rPr>
                <w:sz w:val="19"/>
              </w:rPr>
              <w:t>Σ excess_stock_value</w:t>
            </w:r>
          </w:p>
        </w:tc>
        <w:tc>
          <w:tcPr>
            <w:tcW w:type="dxa" w:w="1872"/>
          </w:tcPr>
          <w:p>
            <w:r>
              <w:rPr>
                <w:sz w:val="19"/>
              </w:rPr>
              <w:t>&lt; 5% of total inventory value</w:t>
            </w:r>
          </w:p>
        </w:tc>
        <w:tc>
          <w:tcPr>
            <w:tcW w:type="dxa" w:w="3168"/>
          </w:tcPr>
          <w:p>
            <w:r>
              <w:rPr>
                <w:sz w:val="19"/>
              </w:rPr>
              <w:t>Lower is better</w:t>
            </w:r>
          </w:p>
        </w:tc>
      </w:tr>
    </w:tbl>
    <w:p/>
    <w:p>
      <w:pPr>
        <w:spacing w:before="440" w:after="100"/>
        <w:pBdr>
          <w:bottom w:val="single" w:sz="6" w:space="4" w:color="00B4D8"/>
        </w:pBdr>
      </w:pPr>
      <w:r>
        <w:rPr>
          <w:b/>
          <w:color w:val="00B4D8"/>
          <w:sz w:val="34"/>
        </w:rPr>
        <w:t>16.  End-to-End System Flow  (Step-by-Step)</w:t>
      </w:r>
    </w:p>
    <w:p>
      <w:pPr>
        <w:spacing w:before="280" w:after="60"/>
      </w:pPr>
      <w:r>
        <w:rPr>
          <w:b/>
          <w:color w:val="F59E0B"/>
          <w:sz w:val="26"/>
        </w:rPr>
        <w:t>Phase A — Data Build  (prepare_data_final.py)</w:t>
      </w:r>
    </w:p>
    <w:p>
      <w:pPr>
        <w:spacing w:after="100"/>
        <w:ind w:left="340"/>
      </w:pPr>
      <w:r>
        <w:rPr>
          <w:b/>
          <w:color w:val="00B4D8"/>
          <w:sz w:val="21"/>
        </w:rPr>
        <w:t xml:space="preserve">[A1]  Excel Parse:  </w:t>
      </w:r>
      <w:r>
        <w:rPr>
          <w:sz w:val="21"/>
        </w:rPr>
        <w:t>All five source files are read using pandas.read_excel(). Multi-level headers in the stock status file are flattened. Non-numeric values in numeric columns are coerced to NaN.</w:t>
      </w:r>
    </w:p>
    <w:p>
      <w:pPr>
        <w:spacing w:after="100"/>
        <w:ind w:left="340"/>
      </w:pPr>
      <w:r>
        <w:rPr>
          <w:b/>
          <w:color w:val="00B4D8"/>
          <w:sz w:val="21"/>
        </w:rPr>
        <w:t xml:space="preserve">[A2]  Stock Master Construction:  </w:t>
      </w:r>
      <w:r>
        <w:rPr>
          <w:sz w:val="21"/>
        </w:rPr>
        <w:t>stock_master is built from the stock status file. For each material: total_stock_qty and total_stock_value are summed across the four plants. avg_muac_rate is computed as total_value / total_qty.</w:t>
      </w:r>
    </w:p>
    <w:p>
      <w:pPr>
        <w:spacing w:after="100"/>
        <w:ind w:left="340"/>
      </w:pPr>
      <w:r>
        <w:rPr>
          <w:b/>
          <w:color w:val="00B4D8"/>
          <w:sz w:val="21"/>
        </w:rPr>
        <w:t xml:space="preserve">[A3]  Historical Merge:  </w:t>
      </w:r>
      <w:r>
        <w:rPr>
          <w:sz w:val="21"/>
        </w:rPr>
        <w:t>The 3-year consumption history (fy_2022_23, fy_2023_24, fy_2024_25), safety_stock_hist, and lead_time_days are left-joined to stock_master on material_code.</w:t>
      </w:r>
    </w:p>
    <w:p>
      <w:pPr>
        <w:spacing w:after="100"/>
        <w:ind w:left="340"/>
      </w:pPr>
      <w:r>
        <w:rPr>
          <w:b/>
          <w:color w:val="00B4D8"/>
          <w:sz w:val="21"/>
        </w:rPr>
        <w:t xml:space="preserve">[A4]  Derived Metrics:  </w:t>
      </w:r>
      <w:r>
        <w:rPr>
          <w:sz w:val="21"/>
        </w:rPr>
        <w:t>avg_annual_consumption, avg_daily_consumption, consumption_volatility (CV), days_of_inventory, inventory_turnover_ratio, reorder_point, stock_status, excess_stock_qty, and excess_stock_value are computed row-by-row.</w:t>
      </w:r>
    </w:p>
    <w:p>
      <w:pPr>
        <w:spacing w:after="100"/>
        <w:ind w:left="340"/>
      </w:pPr>
      <w:r>
        <w:rPr>
          <w:b/>
          <w:color w:val="00B4D8"/>
          <w:sz w:val="21"/>
        </w:rPr>
        <w:t xml:space="preserve">[A5]  ABC Classification:  </w:t>
      </w:r>
      <w:r>
        <w:rPr>
          <w:sz w:val="21"/>
        </w:rPr>
        <w:t>stock_master is sorted by total_stock_value DESC. Cumulative % is computed. abc_class is assigned: A (≤80%), B (≤95%), C (&gt;95%).</w:t>
      </w:r>
    </w:p>
    <w:p>
      <w:pPr>
        <w:spacing w:after="100"/>
        <w:ind w:left="340"/>
      </w:pPr>
      <w:r>
        <w:rPr>
          <w:b/>
          <w:color w:val="00B4D8"/>
          <w:sz w:val="21"/>
        </w:rPr>
        <w:t xml:space="preserve">[A6]  XYZ Classification:  </w:t>
      </w:r>
      <w:r>
        <w:rPr>
          <w:sz w:val="21"/>
        </w:rPr>
        <w:t>xyz_class is assigned by CV: X (&lt;0.25), Y (&lt;0.50), Z (≥0.50).</w:t>
      </w:r>
    </w:p>
    <w:p>
      <w:pPr>
        <w:spacing w:after="100"/>
        <w:ind w:left="340"/>
      </w:pPr>
      <w:r>
        <w:rPr>
          <w:b/>
          <w:color w:val="00B4D8"/>
          <w:sz w:val="21"/>
        </w:rPr>
        <w:t xml:space="preserve">[A7]  Forecasting &amp; Optimal SS:  </w:t>
      </w:r>
      <w:r>
        <w:rPr>
          <w:sz w:val="21"/>
        </w:rPr>
        <w:t>add_forecast_columns() is called on stock_master. It computes: (i) recency-weighted forecast_next_year, (ii) ±2σ confidence bands, (iii) safety_stock_optimal at 95/98/99%, (iv) ss_delta_value at each SL.</w:t>
      </w:r>
    </w:p>
    <w:p>
      <w:pPr>
        <w:spacing w:after="100"/>
        <w:ind w:left="340"/>
      </w:pPr>
      <w:r>
        <w:rPr>
          <w:b/>
          <w:color w:val="00B4D8"/>
          <w:sz w:val="21"/>
        </w:rPr>
        <w:t xml:space="preserve">[A8]  Planning Master Construction:  </w:t>
      </w:r>
      <w:r>
        <w:rPr>
          <w:sz w:val="21"/>
        </w:rPr>
        <w:t>P9 and 21C planning sheets are parsed and combined. Column names are standardised. For each row, calculate_enhanced_tbo() is called to compute tbo_enhanced, tbo_priority, available_inventory, and reorder_point.</w:t>
      </w:r>
    </w:p>
    <w:p>
      <w:pPr>
        <w:spacing w:after="100"/>
        <w:ind w:left="340"/>
      </w:pPr>
      <w:r>
        <w:rPr>
          <w:b/>
          <w:color w:val="00B4D8"/>
          <w:sz w:val="21"/>
        </w:rPr>
        <w:t xml:space="preserve">[A9]  Criticality Flag:  </w:t>
      </w:r>
      <w:r>
        <w:rPr>
          <w:sz w:val="21"/>
        </w:rPr>
        <w:t>is_critical = 1 where safety_stock_gap &lt; 0 AND (tbo_qty IS NULL OR tbo_qty = 0).</w:t>
      </w:r>
    </w:p>
    <w:p>
      <w:pPr>
        <w:spacing w:after="100"/>
        <w:ind w:left="340"/>
      </w:pPr>
      <w:r>
        <w:rPr>
          <w:b/>
          <w:color w:val="00B4D8"/>
          <w:sz w:val="21"/>
        </w:rPr>
        <w:t xml:space="preserve">[A10]  Supplier Analytics:  </w:t>
      </w:r>
      <w:r>
        <w:rPr>
          <w:sz w:val="21"/>
        </w:rPr>
        <w:t>build_supplier_master() aggregates planning_master by supplier. compute_supplier_risk() computes the 4-factor normalised risk score and assigns risk_tier for each supplier.</w:t>
      </w:r>
    </w:p>
    <w:p>
      <w:pPr>
        <w:spacing w:after="100"/>
        <w:ind w:left="340"/>
      </w:pPr>
      <w:r>
        <w:rPr>
          <w:b/>
          <w:color w:val="00B4D8"/>
          <w:sz w:val="21"/>
        </w:rPr>
        <w:t xml:space="preserve">[A11]  Database Commit:  </w:t>
      </w:r>
      <w:r>
        <w:rPr>
          <w:sz w:val="21"/>
        </w:rPr>
        <w:t>All tables are written to procurement_final.db. Indexes are created on warehouse, material_code, and supplier_name columns. Two SQL views are created: v_warehouse_summary and v_critical_materials.</w:t>
      </w:r>
    </w:p>
    <w:p>
      <w:pPr>
        <w:spacing w:before="280" w:after="60"/>
      </w:pPr>
      <w:r>
        <w:rPr>
          <w:b/>
          <w:color w:val="F59E0B"/>
          <w:sz w:val="26"/>
        </w:rPr>
        <w:t>Phase B — Dashboard Interaction  (app.py)</w:t>
      </w:r>
    </w:p>
    <w:p>
      <w:pPr>
        <w:spacing w:after="100"/>
        <w:ind w:left="340"/>
      </w:pPr>
      <w:r>
        <w:rPr>
          <w:b/>
          <w:color w:val="F59E0B"/>
          <w:sz w:val="21"/>
        </w:rPr>
        <w:t xml:space="preserve">[B1]  Page Load:  </w:t>
      </w:r>
      <w:r>
        <w:rPr>
          <w:sz w:val="21"/>
        </w:rPr>
        <w:t>Streamlit starts. The sidebar executes a live COUNT and SUM query against planning_master to show the Live Snapshot (warehouses, materials, stock value, critical count).</w:t>
      </w:r>
    </w:p>
    <w:p>
      <w:pPr>
        <w:spacing w:after="100"/>
        <w:ind w:left="340"/>
      </w:pPr>
      <w:r>
        <w:rPr>
          <w:b/>
          <w:color w:val="F59E0B"/>
          <w:sz w:val="21"/>
        </w:rPr>
        <w:t xml:space="preserve">[B2]  Overview Page:  </w:t>
      </w:r>
      <w:r>
        <w:rPr>
          <w:sz w:val="21"/>
        </w:rPr>
        <w:t>User selects a warehouse filter (or 'All'). SQL queries run against planning_master and stock_master to populate KPI cards, charts, and alert boxes. All data is read-only; no computation happens in Python at this stage.</w:t>
      </w:r>
    </w:p>
    <w:p>
      <w:pPr>
        <w:spacing w:after="100"/>
        <w:ind w:left="340"/>
      </w:pPr>
      <w:r>
        <w:rPr>
          <w:b/>
          <w:color w:val="F59E0B"/>
          <w:sz w:val="21"/>
        </w:rPr>
        <w:t xml:space="preserve">[B3]  Optimization Page:  </w:t>
      </w:r>
      <w:r>
        <w:rPr>
          <w:sz w:val="21"/>
        </w:rPr>
        <w:t>Five tabs load independently. Critical tab: SQL SELECT WHERE is_critical=1. TBO tab: WHERE tbo_qty &gt; 0, grouped by supplier for bar chart. Supplier Risk tab: full supplier_risk table with treemap visualisation.</w:t>
      </w:r>
    </w:p>
    <w:p>
      <w:pPr>
        <w:spacing w:after="100"/>
        <w:ind w:left="340"/>
      </w:pPr>
      <w:r>
        <w:rPr>
          <w:b/>
          <w:color w:val="F59E0B"/>
          <w:sz w:val="21"/>
        </w:rPr>
        <w:t xml:space="preserve">[B4]  Inventory Page:  </w:t>
      </w:r>
      <w:r>
        <w:rPr>
          <w:sz w:val="21"/>
        </w:rPr>
        <w:t>stock_master is queried for total inventory, excess, DOI, ITR, ABC breakdown, and plant distribution via stock_by_location.</w:t>
      </w:r>
    </w:p>
    <w:p>
      <w:pPr>
        <w:spacing w:after="100"/>
        <w:ind w:left="340"/>
      </w:pPr>
      <w:r>
        <w:rPr>
          <w:b/>
          <w:color w:val="F59E0B"/>
          <w:sz w:val="21"/>
        </w:rPr>
        <w:t xml:space="preserve">[B5]  Forecast &amp; SS Page:  </w:t>
      </w:r>
      <w:r>
        <w:rPr>
          <w:sz w:val="21"/>
        </w:rPr>
        <w:t>User selects service level (95/98/99%). All materials with non-null optimal SS are fetched. Top over/under-stocked items are shown. User picks a material from the dropdown → 3-year + forecast chart is rendered using Plotly.</w:t>
      </w:r>
    </w:p>
    <w:p>
      <w:pPr>
        <w:spacing w:after="100"/>
        <w:ind w:left="340"/>
      </w:pPr>
      <w:r>
        <w:rPr>
          <w:b/>
          <w:color w:val="F59E0B"/>
          <w:sz w:val="21"/>
        </w:rPr>
        <w:t xml:space="preserve">[B6]  AI Assistant Page:  </w:t>
      </w:r>
      <w:r>
        <w:rPr>
          <w:sz w:val="21"/>
        </w:rPr>
        <w:t>User types a question or clicks a quick-query chip. The query is passed to agent_expert.chat() with the current session history. The tool-calling loop runs (up to 8 iterations). Breadcrumb pills show which tools were called. Any draft_pr outputs are accumulated in the PR drafts panel.</w:t>
      </w:r>
    </w:p>
    <w:p>
      <w:pPr>
        <w:spacing w:before="280" w:after="60"/>
      </w:pPr>
      <w:r>
        <w:rPr>
          <w:b/>
          <w:color w:val="F59E0B"/>
          <w:sz w:val="26"/>
        </w:rPr>
        <w:t>Phase C — Procurement Action</w:t>
      </w:r>
    </w:p>
    <w:p>
      <w:pPr>
        <w:spacing w:after="100"/>
        <w:ind w:left="340"/>
      </w:pPr>
      <w:r>
        <w:rPr>
          <w:b/>
          <w:color w:val="10B981"/>
          <w:sz w:val="21"/>
        </w:rPr>
        <w:t xml:space="preserve">[C1]  Critical Review:  </w:t>
      </w:r>
      <w:r>
        <w:rPr>
          <w:sz w:val="21"/>
        </w:rPr>
        <w:t>Procurement team reviews is_critical materials sorted by safety_stock_gap. Priority = High items are addressed first.</w:t>
      </w:r>
    </w:p>
    <w:p>
      <w:pPr>
        <w:spacing w:after="100"/>
        <w:ind w:left="340"/>
      </w:pPr>
      <w:r>
        <w:rPr>
          <w:b/>
          <w:color w:val="10B981"/>
          <w:sz w:val="21"/>
        </w:rPr>
        <w:t xml:space="preserve">[C2]  AI-Assisted PR Drafting:  </w:t>
      </w:r>
      <w:r>
        <w:rPr>
          <w:sz w:val="21"/>
        </w:rPr>
        <w:t>User asks AI: 'Draft PRs for the top 3 critical P9 items.' Claude queries v_critical_materials, selects top 3 by gap, calls draft_pr for each, returns a structured summary with justifications.</w:t>
      </w:r>
    </w:p>
    <w:p>
      <w:pPr>
        <w:spacing w:after="100"/>
        <w:ind w:left="340"/>
      </w:pPr>
      <w:r>
        <w:rPr>
          <w:b/>
          <w:color w:val="10B981"/>
          <w:sz w:val="21"/>
        </w:rPr>
        <w:t xml:space="preserve">[C3]  PR Download:  </w:t>
      </w:r>
      <w:r>
        <w:rPr>
          <w:sz w:val="21"/>
        </w:rPr>
        <w:t>User downloads the accumulated draft PRs as an Excel file. The file contains one row per PR with all fields required for ERP submission.</w:t>
      </w:r>
    </w:p>
    <w:p>
      <w:pPr>
        <w:spacing w:after="100"/>
        <w:ind w:left="340"/>
      </w:pPr>
      <w:r>
        <w:rPr>
          <w:b/>
          <w:color w:val="10B981"/>
          <w:sz w:val="21"/>
        </w:rPr>
        <w:t xml:space="preserve">[C4]  ERP Submission:  </w:t>
      </w:r>
      <w:r>
        <w:rPr>
          <w:sz w:val="21"/>
        </w:rPr>
        <w:t>Procurement team submits the Excel-based PRs into the ERP system through the normal approval workflow. The database is NOT automatically updated — the next scheduled database rebuild will reflect the new pending orders.</w:t>
      </w:r>
    </w:p>
    <w:p>
      <w:pPr>
        <w:spacing w:after="100"/>
        <w:ind w:left="340"/>
      </w:pPr>
      <w:r>
        <w:rPr>
          <w:b/>
          <w:color w:val="10B981"/>
          <w:sz w:val="21"/>
        </w:rPr>
        <w:t xml:space="preserve">[C5]  Database Refresh:  </w:t>
      </w:r>
      <w:r>
        <w:rPr>
          <w:sz w:val="21"/>
        </w:rPr>
        <w:t>After ERP updates are reflected in the source Excel files, prepare_data_final.py is re-run. All derived metrics (TBO, criticality, risk scores) are recomputed from scratch. The dashboard automatically reflects the updated state.</w:t>
      </w:r>
    </w:p>
    <w:p/>
    <w:p>
      <w:pPr>
        <w:jc w:val="center"/>
      </w:pPr>
      <w:r>
        <w:rPr>
          <w:i/>
          <w:color w:val="64748B"/>
          <w:sz w:val="18"/>
        </w:rPr>
        <w:t>Procurement Command Center v4.0  ·  Bryair Asia  ·  Technical Reference  ·  May 2026  ·  Confidential</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