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770" w:rsidRPr="00AB4471" w:rsidRDefault="00AB4471">
      <w:pPr>
        <w:rPr>
          <w:rFonts w:cstheme="minorHAnsi"/>
          <w:b/>
          <w:i/>
          <w:sz w:val="40"/>
          <w:szCs w:val="40"/>
          <w:u w:val="single"/>
        </w:rPr>
      </w:pPr>
      <w:r>
        <w:rPr>
          <w:rFonts w:cstheme="minorHAnsi"/>
          <w:sz w:val="28"/>
          <w:szCs w:val="28"/>
        </w:rPr>
        <w:t xml:space="preserve">                                  </w:t>
      </w:r>
      <w:r w:rsidRPr="00AB4471">
        <w:rPr>
          <w:rFonts w:cstheme="minorHAnsi"/>
          <w:b/>
          <w:i/>
          <w:sz w:val="40"/>
          <w:szCs w:val="40"/>
          <w:u w:val="single"/>
        </w:rPr>
        <w:t>Solution Sheet for the project</w:t>
      </w:r>
    </w:p>
    <w:tbl>
      <w:tblPr>
        <w:tblStyle w:val="TableGrid"/>
        <w:tblpPr w:leftFromText="180" w:rightFromText="180" w:vertAnchor="text" w:horzAnchor="margin" w:tblpXSpec="right" w:tblpY="732"/>
        <w:tblW w:w="10171" w:type="dxa"/>
        <w:tblLook w:val="04A0" w:firstRow="1" w:lastRow="0" w:firstColumn="1" w:lastColumn="0" w:noHBand="0" w:noVBand="1"/>
      </w:tblPr>
      <w:tblGrid>
        <w:gridCol w:w="6091"/>
        <w:gridCol w:w="4080"/>
      </w:tblGrid>
      <w:tr w:rsidR="004C0770" w:rsidRPr="005920D6" w:rsidTr="00F61823">
        <w:trPr>
          <w:trHeight w:val="546"/>
        </w:trPr>
        <w:tc>
          <w:tcPr>
            <w:tcW w:w="6091" w:type="dxa"/>
          </w:tcPr>
          <w:p w:rsidR="004C0770" w:rsidRPr="005920D6" w:rsidRDefault="004C0770" w:rsidP="004C0770">
            <w:pPr>
              <w:rPr>
                <w:rFonts w:cstheme="minorHAnsi"/>
                <w:sz w:val="28"/>
                <w:szCs w:val="28"/>
              </w:rPr>
            </w:pPr>
            <w:r w:rsidRPr="005920D6">
              <w:rPr>
                <w:rFonts w:cstheme="minorHAnsi"/>
                <w:sz w:val="28"/>
                <w:szCs w:val="28"/>
              </w:rPr>
              <w:t xml:space="preserve">How many unique companies are present in </w:t>
            </w:r>
            <w:proofErr w:type="gramStart"/>
            <w:r w:rsidRPr="005920D6">
              <w:rPr>
                <w:rFonts w:cstheme="minorHAnsi"/>
                <w:sz w:val="28"/>
                <w:szCs w:val="28"/>
              </w:rPr>
              <w:t>rounds2 ?</w:t>
            </w:r>
            <w:proofErr w:type="gramEnd"/>
          </w:p>
        </w:tc>
        <w:tc>
          <w:tcPr>
            <w:tcW w:w="4080" w:type="dxa"/>
          </w:tcPr>
          <w:p w:rsidR="00197FC9" w:rsidRPr="00197FC9" w:rsidRDefault="00197FC9" w:rsidP="00197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4"/>
                <w:szCs w:val="24"/>
                <w:lang w:eastAsia="en-IN"/>
              </w:rPr>
            </w:pPr>
            <w:r w:rsidRPr="00197FC9">
              <w:rPr>
                <w:rFonts w:ascii="Courier New" w:eastAsia="Times New Roman" w:hAnsi="Courier New" w:cs="Courier New"/>
                <w:b/>
                <w:color w:val="000000"/>
                <w:sz w:val="24"/>
                <w:szCs w:val="24"/>
                <w:lang w:eastAsia="en-IN"/>
              </w:rPr>
              <w:t>66290</w:t>
            </w:r>
          </w:p>
          <w:p w:rsidR="004C0770" w:rsidRPr="00197FC9" w:rsidRDefault="004C0770" w:rsidP="004C0770">
            <w:pPr>
              <w:rPr>
                <w:rFonts w:cstheme="minorHAnsi"/>
                <w:b/>
                <w:sz w:val="24"/>
                <w:szCs w:val="24"/>
              </w:rPr>
            </w:pPr>
          </w:p>
        </w:tc>
      </w:tr>
      <w:tr w:rsidR="004C0770" w:rsidRPr="005920D6" w:rsidTr="00F61823">
        <w:trPr>
          <w:trHeight w:val="546"/>
        </w:trPr>
        <w:tc>
          <w:tcPr>
            <w:tcW w:w="6091" w:type="dxa"/>
          </w:tcPr>
          <w:p w:rsidR="004C0770" w:rsidRPr="005920D6" w:rsidRDefault="004C0770" w:rsidP="004C0770">
            <w:pPr>
              <w:rPr>
                <w:rFonts w:cstheme="minorHAnsi"/>
                <w:sz w:val="28"/>
                <w:szCs w:val="28"/>
              </w:rPr>
            </w:pPr>
            <w:r w:rsidRPr="005920D6">
              <w:rPr>
                <w:rFonts w:cstheme="minorHAnsi"/>
                <w:sz w:val="28"/>
                <w:szCs w:val="28"/>
              </w:rPr>
              <w:t>How many unique companies are present in companies?</w:t>
            </w:r>
          </w:p>
        </w:tc>
        <w:tc>
          <w:tcPr>
            <w:tcW w:w="4080" w:type="dxa"/>
          </w:tcPr>
          <w:p w:rsidR="00197FC9" w:rsidRPr="00197FC9" w:rsidRDefault="00197FC9" w:rsidP="00197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4"/>
                <w:szCs w:val="24"/>
                <w:lang w:eastAsia="en-IN"/>
              </w:rPr>
            </w:pPr>
            <w:r w:rsidRPr="00197FC9">
              <w:rPr>
                <w:rFonts w:ascii="Courier New" w:eastAsia="Times New Roman" w:hAnsi="Courier New" w:cs="Courier New"/>
                <w:b/>
                <w:color w:val="000000"/>
                <w:sz w:val="24"/>
                <w:szCs w:val="24"/>
                <w:lang w:eastAsia="en-IN"/>
              </w:rPr>
              <w:t>66290</w:t>
            </w:r>
          </w:p>
          <w:p w:rsidR="004C0770" w:rsidRPr="00197FC9" w:rsidRDefault="004C0770" w:rsidP="004C0770">
            <w:pPr>
              <w:rPr>
                <w:rFonts w:cstheme="minorHAnsi"/>
                <w:b/>
                <w:sz w:val="24"/>
                <w:szCs w:val="24"/>
              </w:rPr>
            </w:pPr>
          </w:p>
        </w:tc>
      </w:tr>
      <w:tr w:rsidR="004C0770" w:rsidRPr="005920D6" w:rsidTr="00F61823">
        <w:trPr>
          <w:trHeight w:val="1617"/>
        </w:trPr>
        <w:tc>
          <w:tcPr>
            <w:tcW w:w="6091" w:type="dxa"/>
          </w:tcPr>
          <w:p w:rsidR="004C0770" w:rsidRPr="005920D6" w:rsidRDefault="004C0770" w:rsidP="004C0770">
            <w:pPr>
              <w:rPr>
                <w:rFonts w:cstheme="minorHAnsi"/>
                <w:sz w:val="28"/>
                <w:szCs w:val="28"/>
              </w:rPr>
            </w:pPr>
            <w:r w:rsidRPr="005920D6">
              <w:rPr>
                <w:rFonts w:cstheme="minorHAnsi"/>
                <w:sz w:val="28"/>
                <w:szCs w:val="28"/>
              </w:rPr>
              <w:t xml:space="preserve">In the </w:t>
            </w:r>
            <w:proofErr w:type="spellStart"/>
            <w:r w:rsidRPr="005920D6">
              <w:rPr>
                <w:rFonts w:cstheme="minorHAnsi"/>
                <w:sz w:val="28"/>
                <w:szCs w:val="28"/>
              </w:rPr>
              <w:t>companies</w:t>
            </w:r>
            <w:proofErr w:type="spellEnd"/>
            <w:r w:rsidRPr="005920D6">
              <w:rPr>
                <w:rFonts w:cstheme="minorHAnsi"/>
                <w:sz w:val="28"/>
                <w:szCs w:val="28"/>
              </w:rPr>
              <w:t xml:space="preserve"> data frame, which column can be used as the unique key for each company? Write the name of the column.</w:t>
            </w:r>
          </w:p>
          <w:p w:rsidR="004C0770" w:rsidRPr="005920D6" w:rsidRDefault="004C0770" w:rsidP="004C0770">
            <w:pPr>
              <w:rPr>
                <w:rFonts w:cstheme="minorHAnsi"/>
                <w:sz w:val="28"/>
                <w:szCs w:val="28"/>
              </w:rPr>
            </w:pPr>
          </w:p>
        </w:tc>
        <w:tc>
          <w:tcPr>
            <w:tcW w:w="4080" w:type="dxa"/>
          </w:tcPr>
          <w:p w:rsidR="004C0770" w:rsidRPr="005920D6" w:rsidRDefault="00FF1CBA" w:rsidP="004C0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r w:rsidRPr="005920D6">
              <w:rPr>
                <w:rFonts w:cstheme="minorHAnsi"/>
                <w:sz w:val="28"/>
                <w:szCs w:val="28"/>
              </w:rPr>
              <w:t>permalink</w:t>
            </w:r>
          </w:p>
        </w:tc>
      </w:tr>
      <w:tr w:rsidR="004C0770" w:rsidRPr="005920D6" w:rsidTr="00F61823">
        <w:trPr>
          <w:trHeight w:val="1092"/>
        </w:trPr>
        <w:tc>
          <w:tcPr>
            <w:tcW w:w="6091" w:type="dxa"/>
          </w:tcPr>
          <w:p w:rsidR="004C0770" w:rsidRPr="005920D6" w:rsidRDefault="004C0770" w:rsidP="004C0770">
            <w:pPr>
              <w:rPr>
                <w:rFonts w:cstheme="minorHAnsi"/>
                <w:sz w:val="28"/>
                <w:szCs w:val="28"/>
              </w:rPr>
            </w:pPr>
            <w:r w:rsidRPr="005920D6">
              <w:rPr>
                <w:rFonts w:cstheme="minorHAnsi"/>
                <w:sz w:val="28"/>
                <w:szCs w:val="28"/>
              </w:rPr>
              <w:t>Are there any companies in the rounds2 ﬁle which are not present in companies? Answer yes or no: Y/N</w:t>
            </w:r>
          </w:p>
        </w:tc>
        <w:tc>
          <w:tcPr>
            <w:tcW w:w="4080" w:type="dxa"/>
          </w:tcPr>
          <w:p w:rsidR="004C0770" w:rsidRPr="005920D6" w:rsidRDefault="00197FC9" w:rsidP="004C0770">
            <w:pPr>
              <w:rPr>
                <w:rFonts w:cstheme="minorHAnsi"/>
                <w:sz w:val="28"/>
                <w:szCs w:val="28"/>
              </w:rPr>
            </w:pPr>
            <w:r>
              <w:rPr>
                <w:rFonts w:cstheme="minorHAnsi"/>
                <w:sz w:val="28"/>
                <w:szCs w:val="28"/>
              </w:rPr>
              <w:t>No</w:t>
            </w:r>
          </w:p>
        </w:tc>
      </w:tr>
      <w:tr w:rsidR="004C0770" w:rsidRPr="005920D6" w:rsidTr="00F61823">
        <w:trPr>
          <w:trHeight w:val="2165"/>
        </w:trPr>
        <w:tc>
          <w:tcPr>
            <w:tcW w:w="6091" w:type="dxa"/>
          </w:tcPr>
          <w:p w:rsidR="004C0770" w:rsidRPr="005920D6" w:rsidRDefault="004C0770" w:rsidP="004C0770">
            <w:pPr>
              <w:rPr>
                <w:rFonts w:cstheme="minorHAnsi"/>
                <w:sz w:val="28"/>
                <w:szCs w:val="28"/>
              </w:rPr>
            </w:pPr>
            <w:r w:rsidRPr="005920D6">
              <w:rPr>
                <w:rFonts w:cstheme="minorHAnsi"/>
                <w:sz w:val="28"/>
                <w:szCs w:val="28"/>
              </w:rPr>
              <w:t xml:space="preserve">Merge the two data frames so that all variables (columns) in the companies frame are added to the rounds2 data frame. Name the merged frame </w:t>
            </w:r>
            <w:proofErr w:type="spellStart"/>
            <w:r w:rsidRPr="005920D6">
              <w:rPr>
                <w:rFonts w:cstheme="minorHAnsi"/>
                <w:sz w:val="28"/>
                <w:szCs w:val="28"/>
              </w:rPr>
              <w:t>master_frame</w:t>
            </w:r>
            <w:proofErr w:type="spellEnd"/>
            <w:r w:rsidRPr="005920D6">
              <w:rPr>
                <w:rFonts w:cstheme="minorHAnsi"/>
                <w:sz w:val="28"/>
                <w:szCs w:val="28"/>
              </w:rPr>
              <w:t xml:space="preserve">. How many observations are present in </w:t>
            </w:r>
            <w:proofErr w:type="spellStart"/>
            <w:r w:rsidRPr="005920D6">
              <w:rPr>
                <w:rFonts w:cstheme="minorHAnsi"/>
                <w:sz w:val="28"/>
                <w:szCs w:val="28"/>
              </w:rPr>
              <w:t>master_frame</w:t>
            </w:r>
            <w:proofErr w:type="spellEnd"/>
            <w:r w:rsidRPr="005920D6">
              <w:rPr>
                <w:rFonts w:cstheme="minorHAnsi"/>
                <w:sz w:val="28"/>
                <w:szCs w:val="28"/>
              </w:rPr>
              <w:t>?</w:t>
            </w:r>
          </w:p>
          <w:p w:rsidR="004C0770" w:rsidRPr="005920D6" w:rsidRDefault="004C0770" w:rsidP="004C0770">
            <w:pPr>
              <w:rPr>
                <w:rFonts w:cstheme="minorHAnsi"/>
                <w:sz w:val="28"/>
                <w:szCs w:val="28"/>
              </w:rPr>
            </w:pPr>
          </w:p>
        </w:tc>
        <w:tc>
          <w:tcPr>
            <w:tcW w:w="4080" w:type="dxa"/>
          </w:tcPr>
          <w:p w:rsidR="00F61823" w:rsidRPr="005920D6" w:rsidRDefault="00F61823" w:rsidP="00F61823">
            <w:pPr>
              <w:pStyle w:val="HTMLPreformatted"/>
              <w:shd w:val="clear" w:color="auto" w:fill="FFFFFF"/>
              <w:wordWrap w:val="0"/>
              <w:textAlignment w:val="baseline"/>
              <w:rPr>
                <w:rFonts w:asciiTheme="minorHAnsi" w:hAnsiTheme="minorHAnsi" w:cstheme="minorHAnsi"/>
                <w:color w:val="000000"/>
                <w:sz w:val="28"/>
                <w:szCs w:val="28"/>
              </w:rPr>
            </w:pPr>
            <w:r w:rsidRPr="005920D6">
              <w:rPr>
                <w:rFonts w:asciiTheme="minorHAnsi" w:hAnsiTheme="minorHAnsi" w:cstheme="minorHAnsi"/>
                <w:color w:val="000000"/>
                <w:sz w:val="28"/>
                <w:szCs w:val="28"/>
              </w:rPr>
              <w:t>Rows:</w:t>
            </w:r>
            <w:r w:rsidR="00197FC9">
              <w:rPr>
                <w:rFonts w:asciiTheme="minorHAnsi" w:hAnsiTheme="minorHAnsi" w:cstheme="minorHAnsi"/>
                <w:color w:val="000000"/>
                <w:sz w:val="28"/>
                <w:szCs w:val="28"/>
              </w:rPr>
              <w:t xml:space="preserve"> </w:t>
            </w:r>
            <w:r w:rsidR="00197FC9" w:rsidRPr="00197FC9">
              <w:rPr>
                <w:b/>
                <w:color w:val="000000"/>
                <w:sz w:val="28"/>
                <w:szCs w:val="28"/>
              </w:rPr>
              <w:t>115200</w:t>
            </w:r>
            <w:r w:rsidR="00197FC9">
              <w:rPr>
                <w:color w:val="000000"/>
                <w:sz w:val="21"/>
                <w:szCs w:val="21"/>
              </w:rPr>
              <w:t xml:space="preserve"> </w:t>
            </w:r>
            <w:r w:rsidR="00197FC9">
              <w:rPr>
                <w:rFonts w:asciiTheme="minorHAnsi" w:hAnsiTheme="minorHAnsi" w:cstheme="minorHAnsi"/>
                <w:color w:val="000000"/>
                <w:sz w:val="28"/>
                <w:szCs w:val="28"/>
              </w:rPr>
              <w:t>E</w:t>
            </w:r>
            <w:r w:rsidRPr="005920D6">
              <w:rPr>
                <w:rFonts w:asciiTheme="minorHAnsi" w:hAnsiTheme="minorHAnsi" w:cstheme="minorHAnsi"/>
                <w:color w:val="000000"/>
                <w:sz w:val="28"/>
                <w:szCs w:val="28"/>
              </w:rPr>
              <w:t xml:space="preserve">ntries, </w:t>
            </w:r>
          </w:p>
          <w:p w:rsidR="00F61823" w:rsidRPr="005920D6" w:rsidRDefault="00197FC9" w:rsidP="00F61823">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0 to 115200</w:t>
            </w:r>
          </w:p>
          <w:p w:rsidR="00F61823" w:rsidRPr="005920D6" w:rsidRDefault="00F61823" w:rsidP="00F61823">
            <w:pPr>
              <w:pStyle w:val="HTMLPreformatted"/>
              <w:shd w:val="clear" w:color="auto" w:fill="FFFFFF"/>
              <w:wordWrap w:val="0"/>
              <w:jc w:val="center"/>
              <w:textAlignment w:val="baseline"/>
              <w:rPr>
                <w:rFonts w:asciiTheme="minorHAnsi" w:hAnsiTheme="minorHAnsi" w:cstheme="minorHAnsi"/>
                <w:color w:val="000000"/>
                <w:sz w:val="28"/>
                <w:szCs w:val="28"/>
              </w:rPr>
            </w:pPr>
            <w:r w:rsidRPr="005920D6">
              <w:rPr>
                <w:rFonts w:asciiTheme="minorHAnsi" w:hAnsiTheme="minorHAnsi" w:cstheme="minorHAnsi"/>
                <w:color w:val="000000"/>
                <w:sz w:val="28"/>
                <w:szCs w:val="28"/>
              </w:rPr>
              <w:t>Data columns:(total 13 column)</w:t>
            </w:r>
          </w:p>
          <w:p w:rsidR="00197FC9" w:rsidRPr="00197FC9" w:rsidRDefault="00197FC9" w:rsidP="00197FC9">
            <w:pPr>
              <w:shd w:val="clear" w:color="auto" w:fill="FFFFFF"/>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
          <w:p w:rsidR="004C0770" w:rsidRPr="005920D6" w:rsidRDefault="004C0770" w:rsidP="004C0770">
            <w:pPr>
              <w:rPr>
                <w:rFonts w:cstheme="minorHAnsi"/>
                <w:sz w:val="28"/>
                <w:szCs w:val="28"/>
              </w:rPr>
            </w:pPr>
          </w:p>
        </w:tc>
      </w:tr>
    </w:tbl>
    <w:p w:rsidR="004C0770" w:rsidRPr="005920D6" w:rsidRDefault="004C0770">
      <w:pPr>
        <w:rPr>
          <w:rFonts w:cstheme="minorHAnsi"/>
          <w:sz w:val="28"/>
          <w:szCs w:val="28"/>
        </w:rPr>
      </w:pPr>
      <w:r w:rsidRPr="005920D6">
        <w:rPr>
          <w:rFonts w:cstheme="minorHAnsi"/>
          <w:sz w:val="28"/>
          <w:szCs w:val="28"/>
        </w:rPr>
        <w:t xml:space="preserve">Table 1.1: Understand the Data Set  </w:t>
      </w:r>
    </w:p>
    <w:p w:rsidR="00A34F92" w:rsidRPr="005920D6" w:rsidRDefault="004C0770">
      <w:pPr>
        <w:rPr>
          <w:rFonts w:cstheme="minorHAnsi"/>
          <w:sz w:val="28"/>
          <w:szCs w:val="28"/>
        </w:rPr>
      </w:pPr>
      <w:r w:rsidRPr="005920D6">
        <w:rPr>
          <w:rFonts w:cstheme="minorHAnsi"/>
          <w:sz w:val="28"/>
          <w:szCs w:val="28"/>
        </w:rPr>
        <w:t xml:space="preserve"> </w:t>
      </w:r>
    </w:p>
    <w:p w:rsidR="004C0770" w:rsidRDefault="004C0770"/>
    <w:p w:rsidR="001C29AF" w:rsidRDefault="001C29AF"/>
    <w:p w:rsidR="001C29AF" w:rsidRDefault="001C29AF"/>
    <w:p w:rsidR="001C29AF" w:rsidRDefault="001C29AF"/>
    <w:p w:rsidR="001C29AF" w:rsidRDefault="001C29AF"/>
    <w:p w:rsidR="001C29AF" w:rsidRDefault="001C29AF"/>
    <w:p w:rsidR="001C29AF" w:rsidRDefault="001C29AF"/>
    <w:p w:rsidR="001C29AF" w:rsidRDefault="001C29AF"/>
    <w:p w:rsidR="001C29AF" w:rsidRDefault="001C29AF"/>
    <w:p w:rsidR="001C29AF" w:rsidRDefault="001C29AF"/>
    <w:p w:rsidR="001C29AF" w:rsidRDefault="001C29AF"/>
    <w:p w:rsidR="001C29AF" w:rsidRDefault="001C29AF"/>
    <w:p w:rsidR="001C29AF" w:rsidRDefault="001C29AF"/>
    <w:p w:rsidR="001C29AF" w:rsidRPr="006F156C" w:rsidRDefault="006F156C">
      <w:pPr>
        <w:rPr>
          <w:b/>
          <w:i/>
          <w:sz w:val="40"/>
          <w:szCs w:val="40"/>
          <w:u w:val="single"/>
        </w:rPr>
      </w:pPr>
      <w:r>
        <w:rPr>
          <w:sz w:val="40"/>
          <w:szCs w:val="40"/>
        </w:rPr>
        <w:lastRenderedPageBreak/>
        <w:t xml:space="preserve">                 </w:t>
      </w:r>
      <w:r w:rsidRPr="006F156C">
        <w:rPr>
          <w:b/>
          <w:i/>
          <w:sz w:val="40"/>
          <w:szCs w:val="40"/>
          <w:u w:val="single"/>
        </w:rPr>
        <w:t>Choosing the company type</w:t>
      </w:r>
    </w:p>
    <w:p w:rsidR="001C29AF" w:rsidRPr="001C29AF" w:rsidRDefault="001C29AF" w:rsidP="001C29AF">
      <w:pPr>
        <w:shd w:val="clear" w:color="auto" w:fill="FFFFFF"/>
        <w:spacing w:after="100" w:afterAutospacing="1" w:line="240" w:lineRule="auto"/>
        <w:outlineLvl w:val="2"/>
        <w:rPr>
          <w:rFonts w:ascii="Segoe UI" w:eastAsia="Times New Roman" w:hAnsi="Segoe UI" w:cs="Segoe UI"/>
          <w:b/>
          <w:bCs/>
          <w:color w:val="132E57"/>
          <w:sz w:val="28"/>
          <w:szCs w:val="28"/>
          <w:lang w:eastAsia="en-IN"/>
        </w:rPr>
      </w:pPr>
      <w:r w:rsidRPr="001C29AF">
        <w:rPr>
          <w:rFonts w:ascii="Segoe UI" w:eastAsia="Times New Roman" w:hAnsi="Segoe UI" w:cs="Segoe UI"/>
          <w:b/>
          <w:bCs/>
          <w:color w:val="132E57"/>
          <w:sz w:val="28"/>
          <w:szCs w:val="28"/>
          <w:lang w:eastAsia="en-IN"/>
        </w:rPr>
        <w:t>Stage of Business – Private Equity vs Venture Capital vs Seed Investors</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color w:val="676767"/>
          <w:sz w:val="28"/>
          <w:szCs w:val="28"/>
          <w:lang w:eastAsia="en-IN"/>
        </w:rPr>
        <w:t xml:space="preserve">As the names imply, “seed” or “angel” </w:t>
      </w:r>
      <w:bookmarkStart w:id="0" w:name="_GoBack"/>
      <w:bookmarkEnd w:id="0"/>
      <w:r w:rsidRPr="001C29AF">
        <w:rPr>
          <w:rFonts w:ascii="Segoe UI" w:eastAsia="Times New Roman" w:hAnsi="Segoe UI" w:cs="Segoe UI"/>
          <w:color w:val="676767"/>
          <w:sz w:val="28"/>
          <w:szCs w:val="28"/>
          <w:lang w:eastAsia="en-IN"/>
        </w:rPr>
        <w:t>investors are usually the first investors in a business, followed by venture capital firms (think “new venture”), and finally, private equity firms.</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b/>
          <w:bCs/>
          <w:color w:val="676767"/>
          <w:sz w:val="28"/>
          <w:szCs w:val="28"/>
          <w:lang w:eastAsia="en-IN"/>
        </w:rPr>
        <w:t>Angel</w:t>
      </w:r>
      <w:r w:rsidRPr="001C29AF">
        <w:rPr>
          <w:rFonts w:ascii="Segoe UI" w:eastAsia="Times New Roman" w:hAnsi="Segoe UI" w:cs="Segoe UI"/>
          <w:color w:val="676767"/>
          <w:sz w:val="28"/>
          <w:szCs w:val="28"/>
          <w:lang w:eastAsia="en-IN"/>
        </w:rPr>
        <w:t> or seed investors participate in businesses that are so early-stage they may be pre-revenue with few to no customers at all.  They could simply have a well-developed business plan, prototype, beta test, minimum viable product (“MVP”), or be at a similar level of development.  Some of the businesses, however, may have </w:t>
      </w:r>
      <w:hyperlink r:id="rId4" w:history="1">
        <w:r w:rsidRPr="001C29AF">
          <w:rPr>
            <w:rFonts w:ascii="Segoe UI" w:eastAsia="Times New Roman" w:hAnsi="Segoe UI" w:cs="Segoe UI"/>
            <w:color w:val="FA621C"/>
            <w:sz w:val="28"/>
            <w:szCs w:val="28"/>
            <w:u w:val="single"/>
            <w:lang w:eastAsia="en-IN"/>
          </w:rPr>
          <w:t>revenue</w:t>
        </w:r>
      </w:hyperlink>
      <w:r w:rsidRPr="001C29AF">
        <w:rPr>
          <w:rFonts w:ascii="Segoe UI" w:eastAsia="Times New Roman" w:hAnsi="Segoe UI" w:cs="Segoe UI"/>
          <w:color w:val="676767"/>
          <w:sz w:val="28"/>
          <w:szCs w:val="28"/>
          <w:lang w:eastAsia="en-IN"/>
        </w:rPr>
        <w:t> or even </w:t>
      </w:r>
      <w:hyperlink r:id="rId5" w:history="1">
        <w:r w:rsidRPr="001C29AF">
          <w:rPr>
            <w:rFonts w:ascii="Segoe UI" w:eastAsia="Times New Roman" w:hAnsi="Segoe UI" w:cs="Segoe UI"/>
            <w:color w:val="FA621C"/>
            <w:sz w:val="28"/>
            <w:szCs w:val="28"/>
            <w:u w:val="single"/>
            <w:lang w:eastAsia="en-IN"/>
          </w:rPr>
          <w:t>cash flow</w:t>
        </w:r>
      </w:hyperlink>
      <w:r w:rsidRPr="001C29AF">
        <w:rPr>
          <w:rFonts w:ascii="Segoe UI" w:eastAsia="Times New Roman" w:hAnsi="Segoe UI" w:cs="Segoe UI"/>
          <w:color w:val="676767"/>
          <w:sz w:val="28"/>
          <w:szCs w:val="28"/>
          <w:lang w:eastAsia="en-IN"/>
        </w:rPr>
        <w:t> (it’s not to say that they </w:t>
      </w:r>
      <w:r w:rsidRPr="001C29AF">
        <w:rPr>
          <w:rFonts w:ascii="Segoe UI" w:eastAsia="Times New Roman" w:hAnsi="Segoe UI" w:cs="Segoe UI"/>
          <w:i/>
          <w:iCs/>
          <w:color w:val="676767"/>
          <w:sz w:val="28"/>
          <w:szCs w:val="28"/>
          <w:lang w:eastAsia="en-IN"/>
        </w:rPr>
        <w:t>can’t</w:t>
      </w:r>
      <w:r w:rsidRPr="001C29AF">
        <w:rPr>
          <w:rFonts w:ascii="Segoe UI" w:eastAsia="Times New Roman" w:hAnsi="Segoe UI" w:cs="Segoe UI"/>
          <w:color w:val="676767"/>
          <w:sz w:val="28"/>
          <w:szCs w:val="28"/>
          <w:lang w:eastAsia="en-IN"/>
        </w:rPr>
        <w:t> have those things – it’s just that they frequently don’t).</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b/>
          <w:bCs/>
          <w:color w:val="676767"/>
          <w:sz w:val="28"/>
          <w:szCs w:val="28"/>
          <w:lang w:eastAsia="en-IN"/>
        </w:rPr>
        <w:t>Venture capital (VC)</w:t>
      </w:r>
      <w:r w:rsidRPr="001C29AF">
        <w:rPr>
          <w:rFonts w:ascii="Segoe UI" w:eastAsia="Times New Roman" w:hAnsi="Segoe UI" w:cs="Segoe UI"/>
          <w:color w:val="676767"/>
          <w:sz w:val="28"/>
          <w:szCs w:val="28"/>
          <w:lang w:eastAsia="en-IN"/>
        </w:rPr>
        <w:t> firms typically invest in businesses that have proven their revenue model, or if not, at least have a sizable and rapidly-growing customer base with a revenue strategy in clear sight.</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b/>
          <w:bCs/>
          <w:color w:val="676767"/>
          <w:sz w:val="28"/>
          <w:szCs w:val="28"/>
          <w:lang w:eastAsia="en-IN"/>
        </w:rPr>
        <w:t>Private equity (PE)</w:t>
      </w:r>
      <w:r w:rsidRPr="001C29AF">
        <w:rPr>
          <w:rFonts w:ascii="Segoe UI" w:eastAsia="Times New Roman" w:hAnsi="Segoe UI" w:cs="Segoe UI"/>
          <w:color w:val="676767"/>
          <w:sz w:val="28"/>
          <w:szCs w:val="28"/>
          <w:lang w:eastAsia="en-IN"/>
        </w:rPr>
        <w:t> firms invest when a company has gone beyond generating revenue and developed profitable margins, stable cash flow, and is able to service a significant amount of debt.  To learn more about the various types of cash flow, read our </w:t>
      </w:r>
      <w:hyperlink r:id="rId6" w:history="1">
        <w:r w:rsidRPr="001C29AF">
          <w:rPr>
            <w:rFonts w:ascii="Segoe UI" w:eastAsia="Times New Roman" w:hAnsi="Segoe UI" w:cs="Segoe UI"/>
            <w:color w:val="FA621C"/>
            <w:sz w:val="28"/>
            <w:szCs w:val="28"/>
            <w:u w:val="single"/>
            <w:lang w:eastAsia="en-IN"/>
          </w:rPr>
          <w:t>ultimate cash flow guide</w:t>
        </w:r>
      </w:hyperlink>
      <w:r w:rsidRPr="001C29AF">
        <w:rPr>
          <w:rFonts w:ascii="Segoe UI" w:eastAsia="Times New Roman" w:hAnsi="Segoe UI" w:cs="Segoe UI"/>
          <w:color w:val="676767"/>
          <w:sz w:val="28"/>
          <w:szCs w:val="28"/>
          <w:lang w:eastAsia="en-IN"/>
        </w:rPr>
        <w:t>.</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color w:val="676767"/>
          <w:sz w:val="28"/>
          <w:szCs w:val="28"/>
          <w:lang w:eastAsia="en-IN"/>
        </w:rPr>
        <w:t> </w:t>
      </w:r>
    </w:p>
    <w:p w:rsidR="001C29AF" w:rsidRPr="001C29AF" w:rsidRDefault="001C29AF" w:rsidP="001C29AF">
      <w:pPr>
        <w:shd w:val="clear" w:color="auto" w:fill="FFFFFF"/>
        <w:spacing w:after="100" w:afterAutospacing="1" w:line="240" w:lineRule="auto"/>
        <w:outlineLvl w:val="2"/>
        <w:rPr>
          <w:rFonts w:ascii="Segoe UI" w:eastAsia="Times New Roman" w:hAnsi="Segoe UI" w:cs="Segoe UI"/>
          <w:b/>
          <w:bCs/>
          <w:color w:val="132E57"/>
          <w:sz w:val="28"/>
          <w:szCs w:val="28"/>
          <w:lang w:eastAsia="en-IN"/>
        </w:rPr>
      </w:pPr>
      <w:r w:rsidRPr="001C29AF">
        <w:rPr>
          <w:rFonts w:ascii="Segoe UI" w:eastAsia="Times New Roman" w:hAnsi="Segoe UI" w:cs="Segoe UI"/>
          <w:b/>
          <w:bCs/>
          <w:color w:val="132E57"/>
          <w:sz w:val="28"/>
          <w:szCs w:val="28"/>
          <w:lang w:eastAsia="en-IN"/>
        </w:rPr>
        <w:t>Size of Investment – Private Equity vs Venture Capital / Seed Investors</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b/>
          <w:bCs/>
          <w:color w:val="676767"/>
          <w:sz w:val="28"/>
          <w:szCs w:val="28"/>
          <w:lang w:eastAsia="en-IN"/>
        </w:rPr>
        <w:t>Seed and angel</w:t>
      </w:r>
      <w:r w:rsidRPr="001C29AF">
        <w:rPr>
          <w:rFonts w:ascii="Segoe UI" w:eastAsia="Times New Roman" w:hAnsi="Segoe UI" w:cs="Segoe UI"/>
          <w:color w:val="676767"/>
          <w:sz w:val="28"/>
          <w:szCs w:val="28"/>
          <w:lang w:eastAsia="en-IN"/>
        </w:rPr>
        <w:t xml:space="preserve"> investors really have no minimum size, but typically it’s at least $10,000 to $100,000 and can be as high as a few million in some cases. Y </w:t>
      </w:r>
      <w:proofErr w:type="spellStart"/>
      <w:r w:rsidRPr="001C29AF">
        <w:rPr>
          <w:rFonts w:ascii="Segoe UI" w:eastAsia="Times New Roman" w:hAnsi="Segoe UI" w:cs="Segoe UI"/>
          <w:color w:val="676767"/>
          <w:sz w:val="28"/>
          <w:szCs w:val="28"/>
          <w:lang w:eastAsia="en-IN"/>
        </w:rPr>
        <w:t>Combinator</w:t>
      </w:r>
      <w:proofErr w:type="spellEnd"/>
      <w:r w:rsidRPr="001C29AF">
        <w:rPr>
          <w:rFonts w:ascii="Segoe UI" w:eastAsia="Times New Roman" w:hAnsi="Segoe UI" w:cs="Segoe UI"/>
          <w:color w:val="676767"/>
          <w:sz w:val="28"/>
          <w:szCs w:val="28"/>
          <w:lang w:eastAsia="en-IN"/>
        </w:rPr>
        <w:t>, for example, typically </w:t>
      </w:r>
      <w:hyperlink r:id="rId7" w:tgtFrame="_blank" w:history="1">
        <w:r w:rsidRPr="001C29AF">
          <w:rPr>
            <w:rFonts w:ascii="Segoe UI" w:eastAsia="Times New Roman" w:hAnsi="Segoe UI" w:cs="Segoe UI"/>
            <w:color w:val="FA621C"/>
            <w:sz w:val="28"/>
            <w:szCs w:val="28"/>
            <w:u w:val="single"/>
            <w:lang w:eastAsia="en-IN"/>
          </w:rPr>
          <w:t>invests $120,000 for a 7% ownership stake</w:t>
        </w:r>
      </w:hyperlink>
      <w:r w:rsidRPr="001C29AF">
        <w:rPr>
          <w:rFonts w:ascii="Segoe UI" w:eastAsia="Times New Roman" w:hAnsi="Segoe UI" w:cs="Segoe UI"/>
          <w:color w:val="676767"/>
          <w:sz w:val="28"/>
          <w:szCs w:val="28"/>
          <w:lang w:eastAsia="en-IN"/>
        </w:rPr>
        <w:t> in companies accepted into its accelerator program.</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b/>
          <w:bCs/>
          <w:color w:val="676767"/>
          <w:sz w:val="28"/>
          <w:szCs w:val="28"/>
          <w:lang w:eastAsia="en-IN"/>
        </w:rPr>
        <w:t>Venture capital</w:t>
      </w:r>
      <w:r w:rsidRPr="001C29AF">
        <w:rPr>
          <w:rFonts w:ascii="Segoe UI" w:eastAsia="Times New Roman" w:hAnsi="Segoe UI" w:cs="Segoe UI"/>
          <w:color w:val="676767"/>
          <w:sz w:val="28"/>
          <w:szCs w:val="28"/>
          <w:lang w:eastAsia="en-IN"/>
        </w:rPr>
        <w:t xml:space="preserve"> firms can invest a wide range of values depending on the industry, company, and various other factors.  As a rule of thumb, </w:t>
      </w:r>
      <w:r w:rsidRPr="001C29AF">
        <w:rPr>
          <w:rFonts w:ascii="Segoe UI" w:eastAsia="Times New Roman" w:hAnsi="Segoe UI" w:cs="Segoe UI"/>
          <w:color w:val="676767"/>
          <w:sz w:val="28"/>
          <w:szCs w:val="28"/>
          <w:lang w:eastAsia="en-IN"/>
        </w:rPr>
        <w:lastRenderedPageBreak/>
        <w:t>you can assume venture capital deals are, on average, anywhere between $1 million and $20 million.</w:t>
      </w:r>
    </w:p>
    <w:p w:rsid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r w:rsidRPr="001C29AF">
        <w:rPr>
          <w:rFonts w:ascii="Segoe UI" w:eastAsia="Times New Roman" w:hAnsi="Segoe UI" w:cs="Segoe UI"/>
          <w:b/>
          <w:bCs/>
          <w:color w:val="676767"/>
          <w:sz w:val="28"/>
          <w:szCs w:val="28"/>
          <w:lang w:eastAsia="en-IN"/>
        </w:rPr>
        <w:t>Private equity</w:t>
      </w:r>
      <w:r w:rsidRPr="001C29AF">
        <w:rPr>
          <w:rFonts w:ascii="Segoe UI" w:eastAsia="Times New Roman" w:hAnsi="Segoe UI" w:cs="Segoe UI"/>
          <w:color w:val="676767"/>
          <w:sz w:val="28"/>
          <w:szCs w:val="28"/>
          <w:lang w:eastAsia="en-IN"/>
        </w:rPr>
        <w:t> firms, being later-stage investors, typically do larger deals and the range can be enormous depending on the types of business.  There are boutique, mid-market private equity firms that will do $5 million deals, while massive global firms such as Blackstone and KKR do billion dollar deals.  The range is so wide it’s almost meaningless to put an average on it.</w:t>
      </w:r>
    </w:p>
    <w:p w:rsid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p>
    <w:p w:rsidR="001C29AF" w:rsidRDefault="001C29AF" w:rsidP="001C29AF">
      <w:pPr>
        <w:shd w:val="clear" w:color="auto" w:fill="FFFFFF"/>
        <w:spacing w:after="100" w:afterAutospacing="1" w:line="240" w:lineRule="auto"/>
        <w:rPr>
          <w:rFonts w:ascii="Segoe UI" w:eastAsia="Times New Roman" w:hAnsi="Segoe UI" w:cs="Segoe UI"/>
          <w:color w:val="676767"/>
          <w:sz w:val="28"/>
          <w:szCs w:val="28"/>
          <w:lang w:eastAsia="en-IN"/>
        </w:rPr>
      </w:pPr>
    </w:p>
    <w:p w:rsidR="001C29AF" w:rsidRDefault="001C29AF" w:rsidP="001C29AF">
      <w:pPr>
        <w:pStyle w:val="Heading3"/>
        <w:shd w:val="clear" w:color="auto" w:fill="FFFFFF"/>
        <w:spacing w:before="0" w:beforeAutospacing="0"/>
        <w:rPr>
          <w:rFonts w:ascii="Segoe UI" w:hAnsi="Segoe UI" w:cs="Segoe UI"/>
          <w:color w:val="132E57"/>
        </w:rPr>
      </w:pPr>
      <w:r>
        <w:rPr>
          <w:rFonts w:ascii="Segoe UI" w:hAnsi="Segoe UI" w:cs="Segoe UI"/>
          <w:color w:val="132E57"/>
        </w:rPr>
        <w:t>Level of Risk</w:t>
      </w:r>
    </w:p>
    <w:p w:rsidR="001C29AF" w:rsidRDefault="001C29AF" w:rsidP="001C29AF">
      <w:pPr>
        <w:pStyle w:val="NormalWeb"/>
        <w:shd w:val="clear" w:color="auto" w:fill="FFFFFF"/>
        <w:spacing w:before="0" w:beforeAutospacing="0"/>
        <w:rPr>
          <w:rFonts w:ascii="Segoe UI" w:hAnsi="Segoe UI" w:cs="Segoe UI"/>
          <w:color w:val="676767"/>
          <w:sz w:val="27"/>
          <w:szCs w:val="27"/>
        </w:rPr>
      </w:pPr>
      <w:r>
        <w:rPr>
          <w:rFonts w:ascii="Segoe UI" w:hAnsi="Segoe UI" w:cs="Segoe UI"/>
          <w:color w:val="676767"/>
          <w:sz w:val="27"/>
          <w:szCs w:val="27"/>
        </w:rPr>
        <w:t>This part is fairly straightforward. The earlier the stage the business is in, the higher the risk (as a generalization – there are exceptions, of course).</w:t>
      </w:r>
    </w:p>
    <w:p w:rsidR="001C29AF" w:rsidRDefault="001C29AF" w:rsidP="001C29AF">
      <w:pPr>
        <w:pStyle w:val="NormalWeb"/>
        <w:shd w:val="clear" w:color="auto" w:fill="FFFFFF"/>
        <w:spacing w:before="0" w:beforeAutospacing="0"/>
        <w:rPr>
          <w:rFonts w:ascii="Segoe UI" w:hAnsi="Segoe UI" w:cs="Segoe UI"/>
          <w:color w:val="676767"/>
          <w:sz w:val="27"/>
          <w:szCs w:val="27"/>
        </w:rPr>
      </w:pPr>
      <w:r>
        <w:rPr>
          <w:rFonts w:ascii="Segoe UI" w:hAnsi="Segoe UI" w:cs="Segoe UI"/>
          <w:color w:val="676767"/>
          <w:sz w:val="27"/>
          <w:szCs w:val="27"/>
        </w:rPr>
        <w:t>One thing that can skew level of risk is leverage and financial engineering.  While </w:t>
      </w:r>
      <w:hyperlink r:id="rId8" w:history="1">
        <w:r>
          <w:rPr>
            <w:rStyle w:val="Hyperlink"/>
            <w:rFonts w:ascii="Segoe UI" w:hAnsi="Segoe UI" w:cs="Segoe UI"/>
            <w:color w:val="FA621C"/>
          </w:rPr>
          <w:t xml:space="preserve">Top Private Equity </w:t>
        </w:r>
        <w:proofErr w:type="spellStart"/>
        <w:r>
          <w:rPr>
            <w:rStyle w:val="Hyperlink"/>
            <w:rFonts w:ascii="Segoe UI" w:hAnsi="Segoe UI" w:cs="Segoe UI"/>
            <w:color w:val="FA621C"/>
          </w:rPr>
          <w:t>firms</w:t>
        </w:r>
      </w:hyperlink>
      <w:r>
        <w:rPr>
          <w:rFonts w:ascii="Segoe UI" w:hAnsi="Segoe UI" w:cs="Segoe UI"/>
          <w:color w:val="676767"/>
          <w:sz w:val="27"/>
          <w:szCs w:val="27"/>
        </w:rPr>
        <w:t>may</w:t>
      </w:r>
      <w:proofErr w:type="spellEnd"/>
      <w:r>
        <w:rPr>
          <w:rFonts w:ascii="Segoe UI" w:hAnsi="Segoe UI" w:cs="Segoe UI"/>
          <w:color w:val="676767"/>
          <w:sz w:val="27"/>
          <w:szCs w:val="27"/>
        </w:rPr>
        <w:t xml:space="preserve"> typically invest in lower risk enterprises, if they use excessive leverage in acquiring a sizeable equity interest, then the investments can become very high-risk.</w:t>
      </w:r>
    </w:p>
    <w:p w:rsidR="001C29AF" w:rsidRDefault="001C29AF" w:rsidP="001C29AF">
      <w:pPr>
        <w:pStyle w:val="NormalWeb"/>
        <w:shd w:val="clear" w:color="auto" w:fill="FFFFFF"/>
        <w:spacing w:before="0" w:beforeAutospacing="0"/>
        <w:rPr>
          <w:rFonts w:ascii="Segoe UI" w:hAnsi="Segoe UI" w:cs="Segoe UI"/>
          <w:color w:val="676767"/>
          <w:sz w:val="27"/>
          <w:szCs w:val="27"/>
        </w:rPr>
      </w:pPr>
      <w:r>
        <w:rPr>
          <w:rFonts w:ascii="Segoe UI" w:hAnsi="Segoe UI" w:cs="Segoe UI"/>
          <w:color w:val="676767"/>
          <w:sz w:val="27"/>
          <w:szCs w:val="27"/>
        </w:rPr>
        <w:t> </w:t>
      </w:r>
    </w:p>
    <w:p w:rsidR="001C29AF" w:rsidRDefault="001C29AF" w:rsidP="001C29AF">
      <w:pPr>
        <w:pStyle w:val="Heading3"/>
        <w:shd w:val="clear" w:color="auto" w:fill="FFFFFF"/>
        <w:spacing w:before="0" w:beforeAutospacing="0"/>
        <w:rPr>
          <w:rFonts w:ascii="Segoe UI" w:hAnsi="Segoe UI" w:cs="Segoe UI"/>
          <w:color w:val="132E57"/>
        </w:rPr>
      </w:pPr>
      <w:r>
        <w:rPr>
          <w:rFonts w:ascii="Segoe UI" w:hAnsi="Segoe UI" w:cs="Segoe UI"/>
          <w:color w:val="132E57"/>
        </w:rPr>
        <w:t>Return Targets</w:t>
      </w:r>
    </w:p>
    <w:p w:rsidR="001C29AF" w:rsidRDefault="001C29AF" w:rsidP="001C29AF">
      <w:pPr>
        <w:pStyle w:val="NormalWeb"/>
        <w:shd w:val="clear" w:color="auto" w:fill="FFFFFF"/>
        <w:spacing w:before="0" w:beforeAutospacing="0"/>
        <w:rPr>
          <w:rFonts w:ascii="Segoe UI" w:hAnsi="Segoe UI" w:cs="Segoe UI"/>
          <w:color w:val="676767"/>
          <w:sz w:val="27"/>
          <w:szCs w:val="27"/>
        </w:rPr>
      </w:pPr>
      <w:r>
        <w:rPr>
          <w:rFonts w:ascii="Segoe UI" w:hAnsi="Segoe UI" w:cs="Segoe UI"/>
          <w:color w:val="676767"/>
          <w:sz w:val="27"/>
          <w:szCs w:val="27"/>
        </w:rPr>
        <w:t>All three classes of investors are trying to earn the highest possible risk-adjusted rates of return. That goes without saying.</w:t>
      </w:r>
    </w:p>
    <w:p w:rsidR="001C29AF" w:rsidRDefault="001C29AF" w:rsidP="001C29AF">
      <w:pPr>
        <w:pStyle w:val="NormalWeb"/>
        <w:shd w:val="clear" w:color="auto" w:fill="FFFFFF"/>
        <w:spacing w:before="0" w:beforeAutospacing="0"/>
        <w:rPr>
          <w:rFonts w:ascii="Segoe UI" w:hAnsi="Segoe UI" w:cs="Segoe UI"/>
          <w:color w:val="676767"/>
          <w:sz w:val="27"/>
          <w:szCs w:val="27"/>
        </w:rPr>
      </w:pPr>
      <w:r>
        <w:rPr>
          <w:rFonts w:ascii="Segoe UI" w:hAnsi="Segoe UI" w:cs="Segoe UI"/>
          <w:color w:val="676767"/>
          <w:sz w:val="27"/>
          <w:szCs w:val="27"/>
        </w:rPr>
        <w:t>Given the different risk profiles though, we can observe that, on average, seed investments can return 100x or more when they work (they often go to zero), while later stage VC returns may be more like 10x (fewer of them go to zero). PE firms seek 20% or higher IRRs (only a very small number of investments go to zero).</w:t>
      </w:r>
    </w:p>
    <w:p w:rsidR="00A30392" w:rsidRDefault="00A30392" w:rsidP="001C29AF">
      <w:pPr>
        <w:pStyle w:val="NormalWeb"/>
        <w:shd w:val="clear" w:color="auto" w:fill="FFFFFF"/>
        <w:spacing w:before="0" w:beforeAutospacing="0"/>
        <w:rPr>
          <w:rFonts w:ascii="Segoe UI" w:hAnsi="Segoe UI" w:cs="Segoe UI"/>
          <w:color w:val="676767"/>
          <w:sz w:val="27"/>
          <w:szCs w:val="27"/>
        </w:rPr>
      </w:pPr>
    </w:p>
    <w:p w:rsidR="00A30392" w:rsidRDefault="00A30392" w:rsidP="001C29AF">
      <w:pPr>
        <w:pStyle w:val="NormalWeb"/>
        <w:shd w:val="clear" w:color="auto" w:fill="FFFFFF"/>
        <w:spacing w:before="0" w:beforeAutospacing="0"/>
        <w:rPr>
          <w:rFonts w:ascii="Segoe UI" w:hAnsi="Segoe UI" w:cs="Segoe UI"/>
          <w:color w:val="676767"/>
          <w:sz w:val="27"/>
          <w:szCs w:val="27"/>
        </w:rPr>
      </w:pPr>
    </w:p>
    <w:p w:rsidR="00A30392" w:rsidRDefault="00A30392" w:rsidP="001C29AF">
      <w:pPr>
        <w:pStyle w:val="NormalWeb"/>
        <w:shd w:val="clear" w:color="auto" w:fill="FFFFFF"/>
        <w:spacing w:before="0" w:beforeAutospacing="0"/>
        <w:rPr>
          <w:rFonts w:ascii="Segoe UI" w:hAnsi="Segoe UI" w:cs="Segoe UI"/>
          <w:color w:val="676767"/>
          <w:sz w:val="27"/>
          <w:szCs w:val="27"/>
        </w:rPr>
      </w:pPr>
      <w:r>
        <w:rPr>
          <w:rFonts w:ascii="Segoe UI" w:hAnsi="Segoe UI" w:cs="Segoe UI"/>
          <w:color w:val="676767"/>
          <w:sz w:val="27"/>
          <w:szCs w:val="27"/>
        </w:rPr>
        <w:lastRenderedPageBreak/>
        <w:t>Source</w:t>
      </w:r>
      <w:proofErr w:type="gramStart"/>
      <w:r>
        <w:rPr>
          <w:rFonts w:ascii="Segoe UI" w:hAnsi="Segoe UI" w:cs="Segoe UI"/>
          <w:color w:val="676767"/>
          <w:sz w:val="27"/>
          <w:szCs w:val="27"/>
        </w:rPr>
        <w:t>::</w:t>
      </w:r>
      <w:proofErr w:type="gramEnd"/>
      <w:r w:rsidRPr="00A30392">
        <w:t xml:space="preserve"> </w:t>
      </w:r>
      <w:hyperlink r:id="rId9" w:history="1">
        <w:r>
          <w:rPr>
            <w:rStyle w:val="Hyperlink"/>
          </w:rPr>
          <w:t>https://corporatefinanceinstitute.com/resources/careers/jobs/private-equity-vs-venture-capital-vs-angel-seed/</w:t>
        </w:r>
      </w:hyperlink>
    </w:p>
    <w:p w:rsidR="00A30392" w:rsidRPr="00C50247" w:rsidRDefault="001C29AF" w:rsidP="0096553B">
      <w:pPr>
        <w:pStyle w:val="NormalWeb"/>
        <w:shd w:val="clear" w:color="auto" w:fill="FFFFFF"/>
        <w:spacing w:before="0" w:beforeAutospacing="0"/>
        <w:jc w:val="both"/>
        <w:rPr>
          <w:rFonts w:ascii="Arial" w:hAnsi="Arial" w:cs="Arial"/>
          <w:sz w:val="32"/>
          <w:szCs w:val="32"/>
        </w:rPr>
      </w:pPr>
      <w:r w:rsidRPr="00C50247">
        <w:rPr>
          <w:rFonts w:ascii="Arial" w:hAnsi="Arial" w:cs="Arial"/>
          <w:sz w:val="32"/>
          <w:szCs w:val="32"/>
        </w:rPr>
        <w:t>Conclusion</w:t>
      </w:r>
      <w:proofErr w:type="gramStart"/>
      <w:r w:rsidRPr="00C50247">
        <w:rPr>
          <w:rFonts w:ascii="Arial" w:hAnsi="Arial" w:cs="Arial"/>
          <w:sz w:val="32"/>
          <w:szCs w:val="32"/>
        </w:rPr>
        <w:t>::::::::::</w:t>
      </w:r>
      <w:proofErr w:type="gramEnd"/>
    </w:p>
    <w:p w:rsidR="00A30392" w:rsidRPr="00C50247" w:rsidRDefault="00A30392" w:rsidP="0096553B">
      <w:pPr>
        <w:shd w:val="clear" w:color="auto" w:fill="FFFFFF"/>
        <w:spacing w:after="100" w:afterAutospacing="1" w:line="240" w:lineRule="auto"/>
        <w:jc w:val="both"/>
        <w:rPr>
          <w:rFonts w:ascii="Arial" w:eastAsia="Times New Roman" w:hAnsi="Arial" w:cs="Arial"/>
          <w:i/>
          <w:sz w:val="32"/>
          <w:szCs w:val="32"/>
          <w:lang w:eastAsia="en-IN"/>
        </w:rPr>
      </w:pPr>
      <w:r w:rsidRPr="00C50247">
        <w:rPr>
          <w:rFonts w:ascii="Arial" w:eastAsia="Times New Roman" w:hAnsi="Arial" w:cs="Arial"/>
          <w:i/>
          <w:sz w:val="32"/>
          <w:szCs w:val="32"/>
          <w:lang w:eastAsia="en-IN"/>
        </w:rPr>
        <w:t>As on comparing representative values of all the strategies and analysing the above details it is found that that the venture has</w:t>
      </w:r>
    </w:p>
    <w:p w:rsidR="00197FC9" w:rsidRPr="00197FC9" w:rsidRDefault="00197FC9" w:rsidP="00197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32"/>
          <w:szCs w:val="32"/>
          <w:lang w:eastAsia="en-IN"/>
        </w:rPr>
      </w:pPr>
      <w:r w:rsidRPr="00197FC9">
        <w:rPr>
          <w:rFonts w:ascii="Arial" w:eastAsia="Times New Roman" w:hAnsi="Arial" w:cs="Arial"/>
          <w:color w:val="000000"/>
          <w:sz w:val="32"/>
          <w:szCs w:val="32"/>
          <w:lang w:eastAsia="en-IN"/>
        </w:rPr>
        <w:t>11899609.197</w:t>
      </w:r>
    </w:p>
    <w:p w:rsidR="00A30392" w:rsidRDefault="00C50247" w:rsidP="00C50247">
      <w:pPr>
        <w:pStyle w:val="HTMLPreformatted"/>
        <w:shd w:val="clear" w:color="auto" w:fill="FFFFFF"/>
        <w:wordWrap w:val="0"/>
        <w:textAlignment w:val="baseline"/>
        <w:rPr>
          <w:rFonts w:ascii="Arial" w:hAnsi="Arial" w:cs="Arial"/>
          <w:i/>
          <w:sz w:val="32"/>
          <w:szCs w:val="32"/>
        </w:rPr>
      </w:pPr>
      <w:r>
        <w:rPr>
          <w:rFonts w:ascii="Arial" w:hAnsi="Arial" w:cs="Arial"/>
          <w:color w:val="000000"/>
          <w:sz w:val="32"/>
          <w:szCs w:val="32"/>
        </w:rPr>
        <w:t xml:space="preserve"> </w:t>
      </w:r>
      <w:r w:rsidR="00A30392" w:rsidRPr="00C50247">
        <w:rPr>
          <w:rFonts w:ascii="Arial" w:hAnsi="Arial" w:cs="Arial"/>
          <w:i/>
          <w:sz w:val="32"/>
          <w:szCs w:val="32"/>
        </w:rPr>
        <w:t>MILLION USD</w:t>
      </w:r>
    </w:p>
    <w:p w:rsidR="00197FC9" w:rsidRDefault="00197FC9" w:rsidP="00C50247">
      <w:pPr>
        <w:pStyle w:val="HTMLPreformatted"/>
        <w:shd w:val="clear" w:color="auto" w:fill="FFFFFF"/>
        <w:wordWrap w:val="0"/>
        <w:textAlignment w:val="baseline"/>
        <w:rPr>
          <w:rFonts w:ascii="Arial" w:hAnsi="Arial" w:cs="Arial"/>
          <w:i/>
          <w:sz w:val="32"/>
          <w:szCs w:val="32"/>
        </w:rPr>
      </w:pPr>
    </w:p>
    <w:p w:rsidR="00197FC9" w:rsidRPr="00197FC9" w:rsidRDefault="00197FC9" w:rsidP="00197FC9">
      <w:pPr>
        <w:pStyle w:val="HTMLPreformatted"/>
        <w:shd w:val="clear" w:color="auto" w:fill="FFFFFF"/>
        <w:wordWrap w:val="0"/>
        <w:textAlignment w:val="baseline"/>
        <w:rPr>
          <w:color w:val="000000"/>
          <w:sz w:val="21"/>
          <w:szCs w:val="21"/>
        </w:rPr>
      </w:pPr>
      <w:r>
        <w:rPr>
          <w:rFonts w:ascii="Arial" w:hAnsi="Arial" w:cs="Arial"/>
          <w:i/>
          <w:sz w:val="32"/>
          <w:szCs w:val="32"/>
        </w:rPr>
        <w:t>With the count of (</w:t>
      </w:r>
      <w:r w:rsidRPr="00197FC9">
        <w:rPr>
          <w:rFonts w:ascii="Arial" w:hAnsi="Arial" w:cs="Arial"/>
          <w:color w:val="000000"/>
          <w:sz w:val="32"/>
          <w:szCs w:val="32"/>
        </w:rPr>
        <w:t>46748</w:t>
      </w:r>
      <w:r>
        <w:rPr>
          <w:rFonts w:ascii="Arial" w:hAnsi="Arial" w:cs="Arial"/>
          <w:color w:val="000000"/>
          <w:sz w:val="32"/>
          <w:szCs w:val="32"/>
        </w:rPr>
        <w:t>)</w:t>
      </w:r>
    </w:p>
    <w:p w:rsidR="00197FC9" w:rsidRPr="00C50247" w:rsidRDefault="00197FC9" w:rsidP="00C50247">
      <w:pPr>
        <w:pStyle w:val="HTMLPreformatted"/>
        <w:shd w:val="clear" w:color="auto" w:fill="FFFFFF"/>
        <w:wordWrap w:val="0"/>
        <w:textAlignment w:val="baseline"/>
        <w:rPr>
          <w:rFonts w:ascii="Arial" w:hAnsi="Arial" w:cs="Arial"/>
          <w:color w:val="000000"/>
          <w:sz w:val="32"/>
          <w:szCs w:val="32"/>
        </w:rPr>
      </w:pPr>
    </w:p>
    <w:p w:rsidR="00A30392" w:rsidRPr="00C50247" w:rsidRDefault="00A30392" w:rsidP="009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Arial" w:eastAsia="Times New Roman" w:hAnsi="Arial" w:cs="Arial"/>
          <w:i/>
          <w:sz w:val="32"/>
          <w:szCs w:val="32"/>
          <w:lang w:eastAsia="en-IN"/>
        </w:rPr>
      </w:pPr>
    </w:p>
    <w:p w:rsidR="00A30392" w:rsidRPr="00C50247" w:rsidRDefault="00A30392" w:rsidP="009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Arial" w:eastAsia="Times New Roman" w:hAnsi="Arial" w:cs="Arial"/>
          <w:i/>
          <w:sz w:val="32"/>
          <w:szCs w:val="32"/>
          <w:lang w:eastAsia="en-IN"/>
        </w:rPr>
      </w:pPr>
      <w:r w:rsidRPr="00C50247">
        <w:rPr>
          <w:rFonts w:ascii="Arial" w:eastAsia="Times New Roman" w:hAnsi="Arial" w:cs="Arial"/>
          <w:i/>
          <w:sz w:val="32"/>
          <w:szCs w:val="32"/>
          <w:lang w:eastAsia="en-IN"/>
        </w:rPr>
        <w:t>Which is the best between 5million to 15 million USD.</w:t>
      </w:r>
    </w:p>
    <w:p w:rsidR="00A30392" w:rsidRPr="00C50247" w:rsidRDefault="00A30392" w:rsidP="009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Arial" w:eastAsia="Times New Roman" w:hAnsi="Arial" w:cs="Arial"/>
          <w:i/>
          <w:sz w:val="32"/>
          <w:szCs w:val="32"/>
          <w:lang w:eastAsia="en-IN"/>
        </w:rPr>
      </w:pPr>
      <w:r w:rsidRPr="00C50247">
        <w:rPr>
          <w:rFonts w:ascii="Arial" w:eastAsia="Times New Roman" w:hAnsi="Arial" w:cs="Arial"/>
          <w:i/>
          <w:sz w:val="32"/>
          <w:szCs w:val="32"/>
          <w:lang w:eastAsia="en-IN"/>
        </w:rPr>
        <w:t>Therefore,</w:t>
      </w:r>
    </w:p>
    <w:p w:rsidR="00A30392" w:rsidRPr="00C50247" w:rsidRDefault="00A30392" w:rsidP="0096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Arial" w:eastAsia="Times New Roman" w:hAnsi="Arial" w:cs="Arial"/>
          <w:i/>
          <w:sz w:val="32"/>
          <w:szCs w:val="32"/>
          <w:lang w:eastAsia="en-IN"/>
        </w:rPr>
      </w:pPr>
    </w:p>
    <w:p w:rsidR="001C29AF" w:rsidRPr="00C50247" w:rsidRDefault="001C29AF" w:rsidP="0096553B">
      <w:pPr>
        <w:shd w:val="clear" w:color="auto" w:fill="FFFFFF"/>
        <w:spacing w:after="100" w:afterAutospacing="1" w:line="240" w:lineRule="auto"/>
        <w:jc w:val="both"/>
        <w:rPr>
          <w:rFonts w:ascii="Arial" w:eastAsia="Times New Roman" w:hAnsi="Arial" w:cs="Arial"/>
          <w:i/>
          <w:sz w:val="32"/>
          <w:szCs w:val="32"/>
          <w:lang w:eastAsia="en-IN"/>
        </w:rPr>
      </w:pPr>
      <w:r w:rsidRPr="00C50247">
        <w:rPr>
          <w:rFonts w:ascii="Arial" w:eastAsia="Times New Roman" w:hAnsi="Arial" w:cs="Arial"/>
          <w:i/>
          <w:sz w:val="32"/>
          <w:szCs w:val="32"/>
          <w:lang w:eastAsia="en-IN"/>
        </w:rPr>
        <w:t xml:space="preserve">The company </w:t>
      </w:r>
      <w:r w:rsidR="00A30392" w:rsidRPr="00C50247">
        <w:rPr>
          <w:rFonts w:ascii="Arial" w:eastAsia="Times New Roman" w:hAnsi="Arial" w:cs="Arial"/>
          <w:i/>
          <w:sz w:val="32"/>
          <w:szCs w:val="32"/>
          <w:lang w:eastAsia="en-IN"/>
        </w:rPr>
        <w:t xml:space="preserve">should </w:t>
      </w:r>
      <w:r w:rsidR="00391E60">
        <w:rPr>
          <w:rFonts w:ascii="Arial" w:eastAsia="Times New Roman" w:hAnsi="Arial" w:cs="Arial"/>
          <w:i/>
          <w:sz w:val="32"/>
          <w:szCs w:val="32"/>
          <w:lang w:eastAsia="en-IN"/>
        </w:rPr>
        <w:t xml:space="preserve">chose the Venture </w:t>
      </w:r>
      <w:r w:rsidRPr="00C50247">
        <w:rPr>
          <w:rFonts w:ascii="Arial" w:eastAsia="Times New Roman" w:hAnsi="Arial" w:cs="Arial"/>
          <w:i/>
          <w:sz w:val="32"/>
          <w:szCs w:val="32"/>
          <w:lang w:eastAsia="en-IN"/>
        </w:rPr>
        <w:t>funding type which is most suitable for them.</w:t>
      </w:r>
    </w:p>
    <w:p w:rsidR="001C29AF" w:rsidRPr="001C29AF" w:rsidRDefault="001C29AF" w:rsidP="001C29AF">
      <w:pPr>
        <w:shd w:val="clear" w:color="auto" w:fill="FFFFFF"/>
        <w:spacing w:after="100" w:afterAutospacing="1" w:line="240" w:lineRule="auto"/>
        <w:rPr>
          <w:rFonts w:ascii="Segoe UI" w:eastAsia="Times New Roman" w:hAnsi="Segoe UI" w:cs="Segoe UI"/>
          <w:color w:val="676767"/>
          <w:sz w:val="27"/>
          <w:szCs w:val="27"/>
          <w:lang w:eastAsia="en-IN"/>
        </w:rPr>
      </w:pPr>
      <w:r w:rsidRPr="001C29AF">
        <w:rPr>
          <w:rFonts w:ascii="Segoe UI" w:eastAsia="Times New Roman" w:hAnsi="Segoe UI" w:cs="Segoe UI"/>
          <w:color w:val="676767"/>
          <w:sz w:val="27"/>
          <w:szCs w:val="27"/>
          <w:lang w:eastAsia="en-IN"/>
        </w:rPr>
        <w:t> </w:t>
      </w:r>
    </w:p>
    <w:p w:rsidR="001C29AF" w:rsidRDefault="001C29AF"/>
    <w:p w:rsidR="001C29AF" w:rsidRDefault="001C29AF"/>
    <w:p w:rsidR="005920D6" w:rsidRDefault="005920D6"/>
    <w:p w:rsidR="005920D6" w:rsidRDefault="005920D6">
      <w:pPr>
        <w:rPr>
          <w:rFonts w:cstheme="minorHAnsi"/>
          <w:sz w:val="32"/>
          <w:szCs w:val="32"/>
        </w:rPr>
      </w:pPr>
      <w:r w:rsidRPr="005920D6">
        <w:rPr>
          <w:rFonts w:cstheme="minorHAnsi"/>
          <w:sz w:val="32"/>
          <w:szCs w:val="32"/>
        </w:rPr>
        <w:t>Table 3.1: Analysing the Top 3 English-Speaking Countries</w:t>
      </w:r>
    </w:p>
    <w:p w:rsidR="005920D6" w:rsidRDefault="005920D6">
      <w:pPr>
        <w:rPr>
          <w:rFonts w:cstheme="minorHAnsi"/>
          <w:sz w:val="32"/>
          <w:szCs w:val="32"/>
        </w:rPr>
      </w:pPr>
    </w:p>
    <w:tbl>
      <w:tblPr>
        <w:tblStyle w:val="TableGrid"/>
        <w:tblW w:w="0" w:type="auto"/>
        <w:tblLook w:val="04A0" w:firstRow="1" w:lastRow="0" w:firstColumn="1" w:lastColumn="0" w:noHBand="0" w:noVBand="1"/>
      </w:tblPr>
      <w:tblGrid>
        <w:gridCol w:w="4508"/>
        <w:gridCol w:w="4508"/>
      </w:tblGrid>
      <w:tr w:rsidR="005920D6" w:rsidTr="005920D6">
        <w:tc>
          <w:tcPr>
            <w:tcW w:w="4508" w:type="dxa"/>
          </w:tcPr>
          <w:p w:rsidR="005920D6" w:rsidRDefault="005920D6" w:rsidP="005920D6">
            <w:pPr>
              <w:jc w:val="center"/>
              <w:rPr>
                <w:rFonts w:cstheme="minorHAnsi"/>
                <w:sz w:val="32"/>
                <w:szCs w:val="32"/>
              </w:rPr>
            </w:pPr>
            <w:r w:rsidRPr="005920D6">
              <w:rPr>
                <w:rFonts w:cstheme="minorHAnsi"/>
                <w:sz w:val="32"/>
                <w:szCs w:val="32"/>
              </w:rPr>
              <w:t>1. Top English-speaking country</w:t>
            </w:r>
          </w:p>
        </w:tc>
        <w:tc>
          <w:tcPr>
            <w:tcW w:w="4508" w:type="dxa"/>
          </w:tcPr>
          <w:p w:rsidR="000D7AA2" w:rsidRPr="000D7AA2" w:rsidRDefault="000D7AA2" w:rsidP="000D7AA2">
            <w:pPr>
              <w:spacing w:before="240"/>
              <w:rPr>
                <w:rFonts w:cstheme="minorHAnsi"/>
                <w:bCs/>
                <w:i/>
                <w:color w:val="000000"/>
                <w:sz w:val="32"/>
                <w:szCs w:val="32"/>
              </w:rPr>
            </w:pPr>
            <w:r w:rsidRPr="000D7AA2">
              <w:rPr>
                <w:rFonts w:cstheme="minorHAnsi"/>
                <w:bCs/>
                <w:i/>
                <w:color w:val="000000"/>
                <w:sz w:val="32"/>
                <w:szCs w:val="32"/>
              </w:rPr>
              <w:t>United States</w:t>
            </w:r>
            <w:r w:rsidR="00197FC9">
              <w:rPr>
                <w:rFonts w:cstheme="minorHAnsi"/>
                <w:bCs/>
                <w:i/>
                <w:color w:val="000000"/>
                <w:sz w:val="32"/>
                <w:szCs w:val="32"/>
              </w:rPr>
              <w:t xml:space="preserve">  (USA)</w:t>
            </w:r>
          </w:p>
          <w:p w:rsidR="005920D6" w:rsidRPr="000D7AA2" w:rsidRDefault="005920D6">
            <w:pPr>
              <w:rPr>
                <w:rFonts w:cstheme="minorHAnsi"/>
                <w:i/>
                <w:sz w:val="32"/>
                <w:szCs w:val="32"/>
              </w:rPr>
            </w:pPr>
          </w:p>
        </w:tc>
      </w:tr>
      <w:tr w:rsidR="005920D6" w:rsidTr="005920D6">
        <w:tc>
          <w:tcPr>
            <w:tcW w:w="4508" w:type="dxa"/>
          </w:tcPr>
          <w:p w:rsidR="005920D6" w:rsidRDefault="005920D6" w:rsidP="005920D6">
            <w:pPr>
              <w:jc w:val="center"/>
              <w:rPr>
                <w:rFonts w:cstheme="minorHAnsi"/>
                <w:sz w:val="32"/>
                <w:szCs w:val="32"/>
              </w:rPr>
            </w:pPr>
            <w:r>
              <w:rPr>
                <w:rFonts w:cstheme="minorHAnsi"/>
                <w:sz w:val="32"/>
                <w:szCs w:val="32"/>
              </w:rPr>
              <w:t>2. Second</w:t>
            </w:r>
            <w:r w:rsidRPr="005920D6">
              <w:rPr>
                <w:rFonts w:cstheme="minorHAnsi"/>
                <w:sz w:val="32"/>
                <w:szCs w:val="32"/>
              </w:rPr>
              <w:t xml:space="preserve"> English-speaking country</w:t>
            </w:r>
          </w:p>
        </w:tc>
        <w:tc>
          <w:tcPr>
            <w:tcW w:w="4508" w:type="dxa"/>
          </w:tcPr>
          <w:p w:rsidR="000D7AA2" w:rsidRPr="000D7AA2" w:rsidRDefault="000D7AA2" w:rsidP="000D7AA2">
            <w:pPr>
              <w:spacing w:before="240"/>
              <w:rPr>
                <w:rFonts w:cstheme="minorHAnsi"/>
                <w:bCs/>
                <w:i/>
                <w:color w:val="000000"/>
                <w:sz w:val="32"/>
                <w:szCs w:val="32"/>
              </w:rPr>
            </w:pPr>
            <w:r w:rsidRPr="000D7AA2">
              <w:rPr>
                <w:rFonts w:cstheme="minorHAnsi"/>
                <w:bCs/>
                <w:i/>
                <w:color w:val="000000"/>
                <w:sz w:val="32"/>
                <w:szCs w:val="32"/>
              </w:rPr>
              <w:t>United Kingdom</w:t>
            </w:r>
            <w:r w:rsidR="00197FC9">
              <w:rPr>
                <w:rFonts w:cstheme="minorHAnsi"/>
                <w:bCs/>
                <w:i/>
                <w:color w:val="000000"/>
                <w:sz w:val="32"/>
                <w:szCs w:val="32"/>
              </w:rPr>
              <w:t xml:space="preserve">  (GBR)</w:t>
            </w:r>
          </w:p>
          <w:p w:rsidR="005920D6" w:rsidRPr="000D7AA2" w:rsidRDefault="005920D6">
            <w:pPr>
              <w:rPr>
                <w:rFonts w:cstheme="minorHAnsi"/>
                <w:i/>
                <w:sz w:val="32"/>
                <w:szCs w:val="32"/>
              </w:rPr>
            </w:pPr>
          </w:p>
        </w:tc>
      </w:tr>
      <w:tr w:rsidR="005920D6" w:rsidTr="005920D6">
        <w:tc>
          <w:tcPr>
            <w:tcW w:w="4508" w:type="dxa"/>
          </w:tcPr>
          <w:p w:rsidR="005920D6" w:rsidRDefault="005920D6" w:rsidP="005920D6">
            <w:pPr>
              <w:jc w:val="center"/>
              <w:rPr>
                <w:rFonts w:cstheme="minorHAnsi"/>
                <w:sz w:val="32"/>
                <w:szCs w:val="32"/>
              </w:rPr>
            </w:pPr>
            <w:r>
              <w:rPr>
                <w:rFonts w:cstheme="minorHAnsi"/>
                <w:sz w:val="32"/>
                <w:szCs w:val="32"/>
              </w:rPr>
              <w:t>3. Third</w:t>
            </w:r>
            <w:r w:rsidRPr="005920D6">
              <w:rPr>
                <w:rFonts w:cstheme="minorHAnsi"/>
                <w:sz w:val="32"/>
                <w:szCs w:val="32"/>
              </w:rPr>
              <w:t xml:space="preserve"> English-speaking country</w:t>
            </w:r>
          </w:p>
        </w:tc>
        <w:tc>
          <w:tcPr>
            <w:tcW w:w="4508" w:type="dxa"/>
          </w:tcPr>
          <w:p w:rsidR="005920D6" w:rsidRPr="000D7AA2" w:rsidRDefault="000D7AA2">
            <w:pPr>
              <w:rPr>
                <w:rFonts w:cstheme="minorHAnsi"/>
                <w:i/>
                <w:sz w:val="32"/>
                <w:szCs w:val="32"/>
              </w:rPr>
            </w:pPr>
            <w:r w:rsidRPr="000D7AA2">
              <w:rPr>
                <w:rFonts w:cstheme="minorHAnsi"/>
                <w:bCs/>
                <w:i/>
                <w:color w:val="000000"/>
                <w:sz w:val="32"/>
                <w:szCs w:val="32"/>
              </w:rPr>
              <w:t>India</w:t>
            </w:r>
            <w:r w:rsidR="00197FC9">
              <w:rPr>
                <w:rFonts w:cstheme="minorHAnsi"/>
                <w:bCs/>
                <w:i/>
                <w:color w:val="000000"/>
                <w:sz w:val="32"/>
                <w:szCs w:val="32"/>
              </w:rPr>
              <w:t xml:space="preserve">     (IND)</w:t>
            </w:r>
          </w:p>
        </w:tc>
      </w:tr>
    </w:tbl>
    <w:p w:rsidR="005920D6" w:rsidRPr="005920D6" w:rsidRDefault="005920D6">
      <w:pPr>
        <w:rPr>
          <w:rFonts w:cstheme="minorHAnsi"/>
          <w:sz w:val="32"/>
          <w:szCs w:val="32"/>
        </w:rPr>
      </w:pPr>
    </w:p>
    <w:p w:rsidR="001C29AF" w:rsidRDefault="001C29AF"/>
    <w:p w:rsidR="001C29AF" w:rsidRDefault="001C29AF"/>
    <w:p w:rsidR="001C29AF" w:rsidRDefault="001C29AF"/>
    <w:p w:rsidR="001C29AF" w:rsidRPr="006F156C" w:rsidRDefault="00D143B1">
      <w:pPr>
        <w:rPr>
          <w:rFonts w:cstheme="minorHAnsi"/>
          <w:sz w:val="28"/>
          <w:szCs w:val="28"/>
        </w:rPr>
      </w:pPr>
      <w:r w:rsidRPr="006F156C">
        <w:rPr>
          <w:rFonts w:cstheme="minorHAnsi"/>
          <w:sz w:val="28"/>
          <w:szCs w:val="28"/>
        </w:rPr>
        <w:t xml:space="preserve">Table </w:t>
      </w:r>
      <w:proofErr w:type="gramStart"/>
      <w:r w:rsidRPr="006F156C">
        <w:rPr>
          <w:rFonts w:cstheme="minorHAnsi"/>
          <w:sz w:val="28"/>
          <w:szCs w:val="28"/>
        </w:rPr>
        <w:t>5.1 :</w:t>
      </w:r>
      <w:proofErr w:type="gramEnd"/>
      <w:r w:rsidRPr="006F156C">
        <w:rPr>
          <w:rFonts w:cstheme="minorHAnsi"/>
          <w:sz w:val="28"/>
          <w:szCs w:val="28"/>
        </w:rPr>
        <w:t xml:space="preserve"> Sector-wise Investment Analysis</w:t>
      </w:r>
    </w:p>
    <w:tbl>
      <w:tblPr>
        <w:tblStyle w:val="TableGrid"/>
        <w:tblW w:w="9493" w:type="dxa"/>
        <w:tblLayout w:type="fixed"/>
        <w:tblLook w:val="04A0" w:firstRow="1" w:lastRow="0" w:firstColumn="1" w:lastColumn="0" w:noHBand="0" w:noVBand="1"/>
      </w:tblPr>
      <w:tblGrid>
        <w:gridCol w:w="4106"/>
        <w:gridCol w:w="1985"/>
        <w:gridCol w:w="1701"/>
        <w:gridCol w:w="1701"/>
      </w:tblGrid>
      <w:tr w:rsidR="00E65020" w:rsidRPr="006F156C" w:rsidTr="00E65020">
        <w:tc>
          <w:tcPr>
            <w:tcW w:w="4106" w:type="dxa"/>
          </w:tcPr>
          <w:p w:rsidR="00D143B1" w:rsidRPr="006F156C" w:rsidRDefault="00D143B1">
            <w:pPr>
              <w:rPr>
                <w:rFonts w:cstheme="minorHAnsi"/>
              </w:rPr>
            </w:pPr>
          </w:p>
        </w:tc>
        <w:tc>
          <w:tcPr>
            <w:tcW w:w="1985" w:type="dxa"/>
          </w:tcPr>
          <w:p w:rsidR="00D143B1" w:rsidRPr="006F156C" w:rsidRDefault="00D143B1" w:rsidP="006F156C">
            <w:pPr>
              <w:jc w:val="center"/>
              <w:rPr>
                <w:rFonts w:cstheme="minorHAnsi"/>
                <w:b/>
                <w:i/>
              </w:rPr>
            </w:pPr>
            <w:r w:rsidRPr="006F156C">
              <w:rPr>
                <w:rFonts w:cstheme="minorHAnsi"/>
                <w:b/>
                <w:i/>
              </w:rPr>
              <w:t>Country 1</w:t>
            </w:r>
          </w:p>
        </w:tc>
        <w:tc>
          <w:tcPr>
            <w:tcW w:w="1701" w:type="dxa"/>
          </w:tcPr>
          <w:p w:rsidR="00D143B1" w:rsidRPr="006F156C" w:rsidRDefault="00D143B1" w:rsidP="006F156C">
            <w:pPr>
              <w:jc w:val="center"/>
              <w:rPr>
                <w:rFonts w:cstheme="minorHAnsi"/>
                <w:b/>
                <w:i/>
              </w:rPr>
            </w:pPr>
            <w:r w:rsidRPr="006F156C">
              <w:rPr>
                <w:rFonts w:cstheme="minorHAnsi"/>
                <w:b/>
                <w:i/>
              </w:rPr>
              <w:t>Country 2</w:t>
            </w:r>
          </w:p>
        </w:tc>
        <w:tc>
          <w:tcPr>
            <w:tcW w:w="1701" w:type="dxa"/>
          </w:tcPr>
          <w:p w:rsidR="00D143B1" w:rsidRPr="006F156C" w:rsidRDefault="00D143B1" w:rsidP="006F156C">
            <w:pPr>
              <w:jc w:val="center"/>
              <w:rPr>
                <w:rFonts w:cstheme="minorHAnsi"/>
                <w:b/>
                <w:i/>
              </w:rPr>
            </w:pPr>
            <w:r w:rsidRPr="006F156C">
              <w:rPr>
                <w:rFonts w:cstheme="minorHAnsi"/>
                <w:b/>
                <w:i/>
              </w:rPr>
              <w:t>Country 3</w:t>
            </w: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1. Total number of investments (count)</w:t>
            </w:r>
          </w:p>
          <w:p w:rsidR="00D143B1" w:rsidRPr="006F156C" w:rsidRDefault="00D143B1" w:rsidP="00D143B1">
            <w:pPr>
              <w:rPr>
                <w:rFonts w:cstheme="minorHAnsi"/>
              </w:rPr>
            </w:pPr>
            <w:r w:rsidRPr="006F156C">
              <w:rPr>
                <w:rFonts w:cstheme="minorHAnsi"/>
              </w:rPr>
              <w:t xml:space="preserve">   </w:t>
            </w:r>
          </w:p>
        </w:tc>
        <w:tc>
          <w:tcPr>
            <w:tcW w:w="1985" w:type="dxa"/>
          </w:tcPr>
          <w:p w:rsidR="00DD59EF" w:rsidRPr="00DD59EF" w:rsidRDefault="00DD59EF" w:rsidP="006F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b/>
                <w:i/>
                <w:color w:val="000000"/>
                <w:lang w:eastAsia="en-IN"/>
              </w:rPr>
            </w:pPr>
            <w:r w:rsidRPr="00DD59EF">
              <w:rPr>
                <w:rFonts w:eastAsia="Times New Roman" w:cstheme="minorHAnsi"/>
                <w:b/>
                <w:i/>
                <w:color w:val="000000"/>
                <w:lang w:eastAsia="en-IN"/>
              </w:rPr>
              <w:t>10482</w:t>
            </w:r>
          </w:p>
          <w:p w:rsidR="00D143B1" w:rsidRPr="006F156C" w:rsidRDefault="00D143B1" w:rsidP="006F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cstheme="minorHAnsi"/>
                <w:b/>
                <w:i/>
              </w:rPr>
            </w:pPr>
          </w:p>
        </w:tc>
        <w:tc>
          <w:tcPr>
            <w:tcW w:w="1701" w:type="dxa"/>
          </w:tcPr>
          <w:p w:rsidR="00DD59EF" w:rsidRPr="00DD59EF" w:rsidRDefault="00DD59EF" w:rsidP="006F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b/>
                <w:i/>
                <w:color w:val="000000"/>
                <w:lang w:eastAsia="en-IN"/>
              </w:rPr>
            </w:pPr>
            <w:r w:rsidRPr="00DD59EF">
              <w:rPr>
                <w:rFonts w:eastAsia="Times New Roman" w:cstheme="minorHAnsi"/>
                <w:b/>
                <w:i/>
                <w:color w:val="000000"/>
                <w:lang w:eastAsia="en-IN"/>
              </w:rPr>
              <w:t>550</w:t>
            </w:r>
          </w:p>
          <w:p w:rsidR="00D143B1" w:rsidRPr="006F156C" w:rsidRDefault="00D143B1" w:rsidP="006F156C">
            <w:pPr>
              <w:jc w:val="center"/>
              <w:rPr>
                <w:rFonts w:cstheme="minorHAnsi"/>
                <w:b/>
                <w:i/>
              </w:rPr>
            </w:pPr>
          </w:p>
        </w:tc>
        <w:tc>
          <w:tcPr>
            <w:tcW w:w="1701" w:type="dxa"/>
          </w:tcPr>
          <w:p w:rsidR="00DD59EF" w:rsidRPr="00DD59EF" w:rsidRDefault="00DD59EF" w:rsidP="006F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b/>
                <w:i/>
                <w:color w:val="000000"/>
                <w:lang w:eastAsia="en-IN"/>
              </w:rPr>
            </w:pPr>
            <w:r w:rsidRPr="00DD59EF">
              <w:rPr>
                <w:rFonts w:eastAsia="Times New Roman" w:cstheme="minorHAnsi"/>
                <w:b/>
                <w:i/>
                <w:color w:val="000000"/>
                <w:lang w:eastAsia="en-IN"/>
              </w:rPr>
              <w:t>291</w:t>
            </w:r>
          </w:p>
          <w:p w:rsidR="00D143B1" w:rsidRPr="006F156C" w:rsidRDefault="00D143B1" w:rsidP="006F156C">
            <w:pPr>
              <w:jc w:val="center"/>
              <w:rPr>
                <w:rFonts w:cstheme="minorHAnsi"/>
                <w:b/>
                <w:i/>
              </w:rPr>
            </w:pP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2. Total amount of investment (USD)</w:t>
            </w:r>
          </w:p>
          <w:p w:rsidR="00D143B1" w:rsidRPr="006F156C" w:rsidRDefault="00D143B1" w:rsidP="00D143B1">
            <w:pPr>
              <w:rPr>
                <w:rFonts w:cstheme="minorHAnsi"/>
              </w:rPr>
            </w:pPr>
            <w:r w:rsidRPr="006F156C">
              <w:rPr>
                <w:rFonts w:cstheme="minorHAnsi"/>
              </w:rPr>
              <w:t xml:space="preserve">   </w:t>
            </w:r>
          </w:p>
          <w:p w:rsidR="00D143B1" w:rsidRPr="006F156C" w:rsidRDefault="00D143B1">
            <w:pPr>
              <w:rPr>
                <w:rFonts w:cstheme="minorHAnsi"/>
              </w:rPr>
            </w:pPr>
          </w:p>
        </w:tc>
        <w:tc>
          <w:tcPr>
            <w:tcW w:w="1985" w:type="dxa"/>
          </w:tcPr>
          <w:p w:rsidR="00DD59EF" w:rsidRPr="00DD59EF" w:rsidRDefault="00DD59EF" w:rsidP="006F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b/>
                <w:i/>
                <w:color w:val="000000"/>
                <w:lang w:eastAsia="en-IN"/>
              </w:rPr>
            </w:pPr>
            <w:r w:rsidRPr="00DD59EF">
              <w:rPr>
                <w:rFonts w:eastAsia="Times New Roman" w:cstheme="minorHAnsi"/>
                <w:b/>
                <w:i/>
                <w:color w:val="000000"/>
                <w:lang w:eastAsia="en-IN"/>
              </w:rPr>
              <w:t>93914840098.0</w:t>
            </w:r>
          </w:p>
          <w:p w:rsidR="00D143B1" w:rsidRPr="006F156C" w:rsidRDefault="00D143B1" w:rsidP="006F156C">
            <w:pPr>
              <w:jc w:val="center"/>
              <w:rPr>
                <w:rFonts w:cstheme="minorHAnsi"/>
                <w:b/>
                <w:i/>
              </w:rPr>
            </w:pPr>
          </w:p>
        </w:tc>
        <w:tc>
          <w:tcPr>
            <w:tcW w:w="1701" w:type="dxa"/>
          </w:tcPr>
          <w:p w:rsidR="00E65020" w:rsidRPr="00E65020" w:rsidRDefault="00E65020" w:rsidP="006F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eastAsia="Times New Roman" w:cstheme="minorHAnsi"/>
                <w:b/>
                <w:i/>
                <w:color w:val="000000"/>
                <w:lang w:eastAsia="en-IN"/>
              </w:rPr>
            </w:pPr>
            <w:r w:rsidRPr="00E65020">
              <w:rPr>
                <w:rFonts w:eastAsia="Times New Roman" w:cstheme="minorHAnsi"/>
                <w:b/>
                <w:i/>
                <w:color w:val="000000"/>
                <w:lang w:eastAsia="en-IN"/>
              </w:rPr>
              <w:t>4803654985.0</w:t>
            </w:r>
          </w:p>
          <w:p w:rsidR="00D143B1" w:rsidRPr="006F156C" w:rsidRDefault="00D143B1" w:rsidP="006F156C">
            <w:pPr>
              <w:spacing w:line="291" w:lineRule="atLeast"/>
              <w:jc w:val="center"/>
              <w:rPr>
                <w:rFonts w:cstheme="minorHAnsi"/>
                <w:b/>
                <w:i/>
              </w:rPr>
            </w:pPr>
          </w:p>
        </w:tc>
        <w:tc>
          <w:tcPr>
            <w:tcW w:w="1701" w:type="dxa"/>
          </w:tcPr>
          <w:p w:rsidR="00E65020" w:rsidRPr="00E65020" w:rsidRDefault="00E65020" w:rsidP="006F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rFonts w:eastAsia="Times New Roman" w:cstheme="minorHAnsi"/>
                <w:b/>
                <w:i/>
                <w:color w:val="000000"/>
                <w:lang w:eastAsia="en-IN"/>
              </w:rPr>
            </w:pPr>
            <w:r w:rsidRPr="00E65020">
              <w:rPr>
                <w:rFonts w:eastAsia="Times New Roman" w:cstheme="minorHAnsi"/>
                <w:b/>
                <w:i/>
                <w:color w:val="000000"/>
                <w:lang w:eastAsia="en-IN"/>
              </w:rPr>
              <w:t>2611667552.0</w:t>
            </w:r>
          </w:p>
          <w:p w:rsidR="00E65020" w:rsidRPr="00E65020" w:rsidRDefault="00E65020" w:rsidP="006F156C">
            <w:pPr>
              <w:spacing w:line="291" w:lineRule="atLeast"/>
              <w:jc w:val="center"/>
              <w:rPr>
                <w:rFonts w:eastAsia="Times New Roman" w:cstheme="minorHAnsi"/>
                <w:b/>
                <w:i/>
                <w:color w:val="303F9F"/>
                <w:lang w:eastAsia="en-IN"/>
              </w:rPr>
            </w:pPr>
          </w:p>
          <w:p w:rsidR="00D143B1" w:rsidRPr="006F156C" w:rsidRDefault="00D143B1" w:rsidP="006F156C">
            <w:pPr>
              <w:jc w:val="center"/>
              <w:rPr>
                <w:rFonts w:cstheme="minorHAnsi"/>
                <w:b/>
                <w:i/>
              </w:rPr>
            </w:pP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3. Top sector (based on count of investments)</w:t>
            </w:r>
          </w:p>
          <w:p w:rsidR="00D143B1" w:rsidRPr="006F156C" w:rsidRDefault="00D143B1">
            <w:pPr>
              <w:rPr>
                <w:rFonts w:cstheme="minorHAnsi"/>
              </w:rPr>
            </w:pPr>
          </w:p>
        </w:tc>
        <w:tc>
          <w:tcPr>
            <w:tcW w:w="1985" w:type="dxa"/>
          </w:tcPr>
          <w:p w:rsidR="00D143B1" w:rsidRPr="006F156C" w:rsidRDefault="00E65020" w:rsidP="006F156C">
            <w:pPr>
              <w:jc w:val="center"/>
              <w:rPr>
                <w:rFonts w:cstheme="minorHAnsi"/>
                <w:b/>
                <w:i/>
              </w:rPr>
            </w:pPr>
            <w:r w:rsidRPr="006F156C">
              <w:rPr>
                <w:rFonts w:cstheme="minorHAnsi"/>
                <w:b/>
                <w:i/>
                <w:color w:val="000000"/>
              </w:rPr>
              <w:t>Others</w:t>
            </w:r>
          </w:p>
        </w:tc>
        <w:tc>
          <w:tcPr>
            <w:tcW w:w="1701" w:type="dxa"/>
          </w:tcPr>
          <w:p w:rsidR="00D143B1" w:rsidRPr="006F156C" w:rsidRDefault="007626A3" w:rsidP="006F156C">
            <w:pPr>
              <w:jc w:val="center"/>
              <w:rPr>
                <w:rFonts w:cstheme="minorHAnsi"/>
                <w:b/>
                <w:i/>
              </w:rPr>
            </w:pPr>
            <w:r w:rsidRPr="006F156C">
              <w:rPr>
                <w:rFonts w:cstheme="minorHAnsi"/>
                <w:b/>
                <w:i/>
                <w:color w:val="000000"/>
              </w:rPr>
              <w:t>Others</w:t>
            </w:r>
          </w:p>
        </w:tc>
        <w:tc>
          <w:tcPr>
            <w:tcW w:w="1701" w:type="dxa"/>
          </w:tcPr>
          <w:p w:rsidR="00D143B1" w:rsidRPr="006F156C" w:rsidRDefault="007626A3" w:rsidP="006F156C">
            <w:pPr>
              <w:jc w:val="center"/>
              <w:rPr>
                <w:rFonts w:cstheme="minorHAnsi"/>
                <w:b/>
                <w:i/>
              </w:rPr>
            </w:pPr>
            <w:r w:rsidRPr="006F156C">
              <w:rPr>
                <w:rFonts w:cstheme="minorHAnsi"/>
                <w:b/>
                <w:i/>
                <w:color w:val="000000"/>
              </w:rPr>
              <w:t>Others</w:t>
            </w: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4. Second-best sector (based on count of investments)</w:t>
            </w:r>
          </w:p>
          <w:p w:rsidR="00D143B1" w:rsidRPr="006F156C" w:rsidRDefault="00D143B1">
            <w:pPr>
              <w:rPr>
                <w:rFonts w:cstheme="minorHAnsi"/>
              </w:rPr>
            </w:pPr>
          </w:p>
        </w:tc>
        <w:tc>
          <w:tcPr>
            <w:tcW w:w="1985" w:type="dxa"/>
          </w:tcPr>
          <w:p w:rsidR="007626A3" w:rsidRPr="006F156C" w:rsidRDefault="007626A3" w:rsidP="006F156C">
            <w:pPr>
              <w:spacing w:before="240"/>
              <w:jc w:val="center"/>
              <w:rPr>
                <w:rFonts w:cstheme="minorHAnsi"/>
                <w:b/>
                <w:i/>
                <w:color w:val="000000"/>
              </w:rPr>
            </w:pPr>
            <w:proofErr w:type="spellStart"/>
            <w:r w:rsidRPr="006F156C">
              <w:rPr>
                <w:rFonts w:cstheme="minorHAnsi"/>
                <w:b/>
                <w:i/>
                <w:color w:val="000000"/>
              </w:rPr>
              <w:t>Cleantech</w:t>
            </w:r>
            <w:proofErr w:type="spellEnd"/>
            <w:r w:rsidRPr="006F156C">
              <w:rPr>
                <w:rFonts w:cstheme="minorHAnsi"/>
                <w:b/>
                <w:i/>
                <w:color w:val="000000"/>
              </w:rPr>
              <w:t xml:space="preserve"> / Semiconductors</w:t>
            </w:r>
          </w:p>
          <w:p w:rsidR="00D143B1" w:rsidRPr="006F156C" w:rsidRDefault="00D143B1" w:rsidP="006F156C">
            <w:pPr>
              <w:jc w:val="center"/>
              <w:rPr>
                <w:rFonts w:cstheme="minorHAnsi"/>
                <w:b/>
                <w:i/>
              </w:rPr>
            </w:pPr>
          </w:p>
        </w:tc>
        <w:tc>
          <w:tcPr>
            <w:tcW w:w="1701" w:type="dxa"/>
          </w:tcPr>
          <w:p w:rsidR="007626A3" w:rsidRPr="006F156C" w:rsidRDefault="007626A3" w:rsidP="006F156C">
            <w:pPr>
              <w:spacing w:before="240"/>
              <w:jc w:val="center"/>
              <w:rPr>
                <w:rFonts w:cstheme="minorHAnsi"/>
                <w:b/>
                <w:i/>
                <w:color w:val="000000"/>
              </w:rPr>
            </w:pPr>
            <w:proofErr w:type="spellStart"/>
            <w:r w:rsidRPr="006F156C">
              <w:rPr>
                <w:rFonts w:cstheme="minorHAnsi"/>
                <w:b/>
                <w:i/>
                <w:color w:val="000000"/>
              </w:rPr>
              <w:t>Cleantech</w:t>
            </w:r>
            <w:proofErr w:type="spellEnd"/>
            <w:r w:rsidRPr="006F156C">
              <w:rPr>
                <w:rFonts w:cstheme="minorHAnsi"/>
                <w:b/>
                <w:i/>
                <w:color w:val="000000"/>
              </w:rPr>
              <w:t xml:space="preserve"> / Semiconductors</w:t>
            </w:r>
          </w:p>
          <w:p w:rsidR="00D143B1" w:rsidRPr="006F156C" w:rsidRDefault="00D143B1" w:rsidP="006F156C">
            <w:pPr>
              <w:jc w:val="center"/>
              <w:rPr>
                <w:rFonts w:cstheme="minorHAnsi"/>
                <w:b/>
                <w:i/>
              </w:rPr>
            </w:pPr>
          </w:p>
        </w:tc>
        <w:tc>
          <w:tcPr>
            <w:tcW w:w="1701" w:type="dxa"/>
          </w:tcPr>
          <w:p w:rsidR="00D143B1" w:rsidRPr="006F156C" w:rsidRDefault="007626A3" w:rsidP="006F156C">
            <w:pPr>
              <w:jc w:val="center"/>
              <w:rPr>
                <w:rFonts w:cstheme="minorHAnsi"/>
                <w:b/>
                <w:i/>
              </w:rPr>
            </w:pPr>
            <w:r w:rsidRPr="006F156C">
              <w:rPr>
                <w:rFonts w:cstheme="minorHAnsi"/>
                <w:b/>
                <w:i/>
                <w:color w:val="000000"/>
              </w:rPr>
              <w:t>News, Search and Messaging</w:t>
            </w: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5. Third-best sector (based on count of investments)</w:t>
            </w:r>
          </w:p>
          <w:p w:rsidR="00D143B1" w:rsidRPr="006F156C" w:rsidRDefault="00D143B1">
            <w:pPr>
              <w:rPr>
                <w:rFonts w:cstheme="minorHAnsi"/>
              </w:rPr>
            </w:pPr>
          </w:p>
        </w:tc>
        <w:tc>
          <w:tcPr>
            <w:tcW w:w="1985" w:type="dxa"/>
          </w:tcPr>
          <w:p w:rsidR="00D143B1" w:rsidRPr="006F156C" w:rsidRDefault="007626A3" w:rsidP="006F156C">
            <w:pPr>
              <w:jc w:val="center"/>
              <w:rPr>
                <w:rFonts w:cstheme="minorHAnsi"/>
                <w:b/>
                <w:i/>
              </w:rPr>
            </w:pPr>
            <w:r w:rsidRPr="006F156C">
              <w:rPr>
                <w:rFonts w:cstheme="minorHAnsi"/>
                <w:b/>
                <w:i/>
                <w:color w:val="000000"/>
              </w:rPr>
              <w:t>Social, Finance, Analytics, Advertising</w:t>
            </w:r>
          </w:p>
        </w:tc>
        <w:tc>
          <w:tcPr>
            <w:tcW w:w="1701" w:type="dxa"/>
          </w:tcPr>
          <w:p w:rsidR="00D143B1" w:rsidRPr="006F156C" w:rsidRDefault="007626A3" w:rsidP="006F156C">
            <w:pPr>
              <w:jc w:val="center"/>
              <w:rPr>
                <w:rFonts w:cstheme="minorHAnsi"/>
                <w:b/>
                <w:i/>
              </w:rPr>
            </w:pPr>
            <w:r w:rsidRPr="006F156C">
              <w:rPr>
                <w:rFonts w:cstheme="minorHAnsi"/>
                <w:b/>
                <w:i/>
                <w:color w:val="000000"/>
              </w:rPr>
              <w:t>Social, Finance, Analytics, Advertising</w:t>
            </w:r>
          </w:p>
        </w:tc>
        <w:tc>
          <w:tcPr>
            <w:tcW w:w="1701" w:type="dxa"/>
          </w:tcPr>
          <w:p w:rsidR="00D143B1" w:rsidRPr="006F156C" w:rsidRDefault="007626A3" w:rsidP="006F156C">
            <w:pPr>
              <w:jc w:val="center"/>
              <w:rPr>
                <w:rFonts w:cstheme="minorHAnsi"/>
                <w:b/>
                <w:i/>
              </w:rPr>
            </w:pPr>
            <w:r w:rsidRPr="006F156C">
              <w:rPr>
                <w:rFonts w:cstheme="minorHAnsi"/>
                <w:b/>
                <w:i/>
                <w:color w:val="000000"/>
              </w:rPr>
              <w:t>Entertainment</w:t>
            </w: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6. Number of investments in the top sector (refer to point 3)</w:t>
            </w:r>
          </w:p>
          <w:p w:rsidR="00D143B1" w:rsidRPr="006F156C" w:rsidRDefault="00D143B1" w:rsidP="00D143B1">
            <w:pPr>
              <w:rPr>
                <w:rFonts w:cstheme="minorHAnsi"/>
              </w:rPr>
            </w:pPr>
            <w:r w:rsidRPr="006F156C">
              <w:rPr>
                <w:rFonts w:cstheme="minorHAnsi"/>
              </w:rPr>
              <w:t xml:space="preserve">   </w:t>
            </w:r>
          </w:p>
          <w:p w:rsidR="00D143B1" w:rsidRPr="006F156C" w:rsidRDefault="00D143B1" w:rsidP="00D143B1">
            <w:pPr>
              <w:rPr>
                <w:rFonts w:cstheme="minorHAnsi"/>
              </w:rPr>
            </w:pPr>
          </w:p>
        </w:tc>
        <w:tc>
          <w:tcPr>
            <w:tcW w:w="1985" w:type="dxa"/>
          </w:tcPr>
          <w:p w:rsidR="00D143B1" w:rsidRPr="006F156C" w:rsidRDefault="007626A3" w:rsidP="006F156C">
            <w:pPr>
              <w:jc w:val="center"/>
              <w:rPr>
                <w:rFonts w:cstheme="minorHAnsi"/>
                <w:b/>
                <w:i/>
              </w:rPr>
            </w:pPr>
            <w:r w:rsidRPr="006F156C">
              <w:rPr>
                <w:rFonts w:cstheme="minorHAnsi"/>
                <w:b/>
                <w:i/>
                <w:color w:val="000000"/>
              </w:rPr>
              <w:t>2735</w:t>
            </w:r>
          </w:p>
        </w:tc>
        <w:tc>
          <w:tcPr>
            <w:tcW w:w="1701" w:type="dxa"/>
          </w:tcPr>
          <w:p w:rsidR="00D143B1" w:rsidRPr="006F156C" w:rsidRDefault="007626A3" w:rsidP="006F156C">
            <w:pPr>
              <w:jc w:val="center"/>
              <w:rPr>
                <w:rFonts w:cstheme="minorHAnsi"/>
                <w:b/>
                <w:i/>
              </w:rPr>
            </w:pPr>
            <w:r w:rsidRPr="006F156C">
              <w:rPr>
                <w:rFonts w:cstheme="minorHAnsi"/>
                <w:b/>
                <w:i/>
                <w:color w:val="000000"/>
              </w:rPr>
              <w:t>137</w:t>
            </w:r>
          </w:p>
        </w:tc>
        <w:tc>
          <w:tcPr>
            <w:tcW w:w="1701" w:type="dxa"/>
          </w:tcPr>
          <w:p w:rsidR="00D143B1" w:rsidRPr="006F156C" w:rsidRDefault="007626A3" w:rsidP="006F156C">
            <w:pPr>
              <w:jc w:val="center"/>
              <w:rPr>
                <w:rFonts w:cstheme="minorHAnsi"/>
                <w:b/>
                <w:i/>
              </w:rPr>
            </w:pPr>
            <w:r w:rsidRPr="006F156C">
              <w:rPr>
                <w:rFonts w:cstheme="minorHAnsi"/>
                <w:b/>
                <w:i/>
                <w:color w:val="000000"/>
              </w:rPr>
              <w:t>102</w:t>
            </w: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7. Number of investments in the second-best sector (refer to point 4)</w:t>
            </w:r>
          </w:p>
          <w:p w:rsidR="00D143B1" w:rsidRPr="006F156C" w:rsidRDefault="00D143B1" w:rsidP="00D143B1">
            <w:pPr>
              <w:rPr>
                <w:rFonts w:cstheme="minorHAnsi"/>
              </w:rPr>
            </w:pPr>
            <w:r w:rsidRPr="006F156C">
              <w:rPr>
                <w:rFonts w:cstheme="minorHAnsi"/>
              </w:rPr>
              <w:t xml:space="preserve">   </w:t>
            </w:r>
          </w:p>
          <w:p w:rsidR="00D143B1" w:rsidRPr="006F156C" w:rsidRDefault="00D143B1" w:rsidP="00D143B1">
            <w:pPr>
              <w:rPr>
                <w:rFonts w:cstheme="minorHAnsi"/>
              </w:rPr>
            </w:pPr>
          </w:p>
        </w:tc>
        <w:tc>
          <w:tcPr>
            <w:tcW w:w="1985" w:type="dxa"/>
          </w:tcPr>
          <w:p w:rsidR="00D143B1" w:rsidRPr="006F156C" w:rsidRDefault="007626A3" w:rsidP="006F156C">
            <w:pPr>
              <w:jc w:val="center"/>
              <w:rPr>
                <w:rFonts w:cstheme="minorHAnsi"/>
                <w:b/>
                <w:i/>
              </w:rPr>
            </w:pPr>
            <w:r w:rsidRPr="006F156C">
              <w:rPr>
                <w:rFonts w:cstheme="minorHAnsi"/>
                <w:b/>
                <w:i/>
                <w:color w:val="000000"/>
              </w:rPr>
              <w:t>2146</w:t>
            </w:r>
          </w:p>
        </w:tc>
        <w:tc>
          <w:tcPr>
            <w:tcW w:w="1701" w:type="dxa"/>
          </w:tcPr>
          <w:p w:rsidR="00D143B1" w:rsidRPr="006F156C" w:rsidRDefault="007626A3" w:rsidP="006F156C">
            <w:pPr>
              <w:jc w:val="center"/>
              <w:rPr>
                <w:rFonts w:cstheme="minorHAnsi"/>
                <w:b/>
                <w:i/>
              </w:rPr>
            </w:pPr>
            <w:r w:rsidRPr="006F156C">
              <w:rPr>
                <w:rFonts w:cstheme="minorHAnsi"/>
                <w:b/>
                <w:i/>
              </w:rPr>
              <w:t>114</w:t>
            </w:r>
          </w:p>
        </w:tc>
        <w:tc>
          <w:tcPr>
            <w:tcW w:w="1701" w:type="dxa"/>
          </w:tcPr>
          <w:p w:rsidR="00D143B1" w:rsidRPr="006F156C" w:rsidRDefault="007626A3" w:rsidP="006F156C">
            <w:pPr>
              <w:jc w:val="center"/>
              <w:rPr>
                <w:rFonts w:cstheme="minorHAnsi"/>
                <w:b/>
                <w:i/>
              </w:rPr>
            </w:pPr>
            <w:r w:rsidRPr="006F156C">
              <w:rPr>
                <w:rFonts w:cstheme="minorHAnsi"/>
                <w:b/>
                <w:i/>
              </w:rPr>
              <w:t>51</w:t>
            </w: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8. Number of investments in the third-best sector (refer to point 5)</w:t>
            </w:r>
          </w:p>
          <w:p w:rsidR="00D143B1" w:rsidRPr="006F156C" w:rsidRDefault="00D143B1" w:rsidP="00D143B1">
            <w:pPr>
              <w:rPr>
                <w:rFonts w:cstheme="minorHAnsi"/>
              </w:rPr>
            </w:pPr>
            <w:r w:rsidRPr="006F156C">
              <w:rPr>
                <w:rFonts w:cstheme="minorHAnsi"/>
              </w:rPr>
              <w:t xml:space="preserve">   </w:t>
            </w:r>
          </w:p>
          <w:p w:rsidR="00D143B1" w:rsidRPr="006F156C" w:rsidRDefault="00D143B1" w:rsidP="00D143B1">
            <w:pPr>
              <w:rPr>
                <w:rFonts w:cstheme="minorHAnsi"/>
              </w:rPr>
            </w:pPr>
          </w:p>
        </w:tc>
        <w:tc>
          <w:tcPr>
            <w:tcW w:w="1985" w:type="dxa"/>
          </w:tcPr>
          <w:p w:rsidR="00D143B1" w:rsidRPr="006F156C" w:rsidRDefault="007626A3" w:rsidP="006F156C">
            <w:pPr>
              <w:jc w:val="center"/>
              <w:rPr>
                <w:rFonts w:cstheme="minorHAnsi"/>
                <w:b/>
                <w:i/>
              </w:rPr>
            </w:pPr>
            <w:r w:rsidRPr="006F156C">
              <w:rPr>
                <w:rFonts w:cstheme="minorHAnsi"/>
                <w:b/>
                <w:i/>
                <w:color w:val="000000"/>
              </w:rPr>
              <w:t>1817</w:t>
            </w:r>
          </w:p>
        </w:tc>
        <w:tc>
          <w:tcPr>
            <w:tcW w:w="1701" w:type="dxa"/>
          </w:tcPr>
          <w:p w:rsidR="00D143B1" w:rsidRPr="006F156C" w:rsidRDefault="007626A3" w:rsidP="006F156C">
            <w:pPr>
              <w:jc w:val="center"/>
              <w:rPr>
                <w:rFonts w:cstheme="minorHAnsi"/>
                <w:b/>
                <w:i/>
              </w:rPr>
            </w:pPr>
            <w:r w:rsidRPr="006F156C">
              <w:rPr>
                <w:rFonts w:cstheme="minorHAnsi"/>
                <w:b/>
                <w:i/>
              </w:rPr>
              <w:t>95</w:t>
            </w:r>
          </w:p>
        </w:tc>
        <w:tc>
          <w:tcPr>
            <w:tcW w:w="1701" w:type="dxa"/>
          </w:tcPr>
          <w:p w:rsidR="00D143B1" w:rsidRPr="006F156C" w:rsidRDefault="007626A3" w:rsidP="006F156C">
            <w:pPr>
              <w:jc w:val="center"/>
              <w:rPr>
                <w:rFonts w:cstheme="minorHAnsi"/>
                <w:b/>
                <w:i/>
              </w:rPr>
            </w:pPr>
            <w:r w:rsidRPr="006F156C">
              <w:rPr>
                <w:rFonts w:cstheme="minorHAnsi"/>
                <w:b/>
                <w:i/>
              </w:rPr>
              <w:t>32</w:t>
            </w:r>
          </w:p>
        </w:tc>
      </w:tr>
      <w:tr w:rsidR="00E65020" w:rsidRPr="006F156C" w:rsidTr="00E65020">
        <w:tc>
          <w:tcPr>
            <w:tcW w:w="4106" w:type="dxa"/>
          </w:tcPr>
          <w:p w:rsidR="00D143B1" w:rsidRPr="006F156C" w:rsidRDefault="00D143B1" w:rsidP="00D143B1">
            <w:pPr>
              <w:rPr>
                <w:rFonts w:cstheme="minorHAnsi"/>
              </w:rPr>
            </w:pPr>
            <w:r w:rsidRPr="006F156C">
              <w:rPr>
                <w:rFonts w:cstheme="minorHAnsi"/>
              </w:rPr>
              <w:t>9. For the top sector count-wise (point 3), which company received the highest investment?</w:t>
            </w:r>
          </w:p>
          <w:p w:rsidR="00D143B1" w:rsidRPr="006F156C" w:rsidRDefault="00D143B1" w:rsidP="00D143B1">
            <w:pPr>
              <w:rPr>
                <w:rFonts w:cstheme="minorHAnsi"/>
              </w:rPr>
            </w:pPr>
            <w:r w:rsidRPr="006F156C">
              <w:rPr>
                <w:rFonts w:cstheme="minorHAnsi"/>
              </w:rPr>
              <w:t xml:space="preserve">   </w:t>
            </w:r>
          </w:p>
          <w:p w:rsidR="00D143B1" w:rsidRPr="006F156C" w:rsidRDefault="00D143B1" w:rsidP="00D143B1">
            <w:pPr>
              <w:rPr>
                <w:rFonts w:cstheme="minorHAnsi"/>
              </w:rPr>
            </w:pPr>
            <w:r w:rsidRPr="006F156C">
              <w:rPr>
                <w:rFonts w:cstheme="minorHAnsi"/>
              </w:rPr>
              <w:t xml:space="preserve"> </w:t>
            </w:r>
          </w:p>
        </w:tc>
        <w:tc>
          <w:tcPr>
            <w:tcW w:w="1985" w:type="dxa"/>
          </w:tcPr>
          <w:p w:rsidR="00D143B1" w:rsidRPr="006F156C" w:rsidRDefault="007626A3" w:rsidP="006F156C">
            <w:pPr>
              <w:jc w:val="center"/>
              <w:rPr>
                <w:rFonts w:cstheme="minorHAnsi"/>
                <w:b/>
                <w:i/>
              </w:rPr>
            </w:pPr>
            <w:proofErr w:type="spellStart"/>
            <w:r w:rsidRPr="006F156C">
              <w:rPr>
                <w:rFonts w:cstheme="minorHAnsi"/>
                <w:b/>
                <w:bCs/>
                <w:i/>
                <w:color w:val="000000"/>
              </w:rPr>
              <w:t>virtustream</w:t>
            </w:r>
            <w:proofErr w:type="spellEnd"/>
          </w:p>
        </w:tc>
        <w:tc>
          <w:tcPr>
            <w:tcW w:w="1701" w:type="dxa"/>
          </w:tcPr>
          <w:p w:rsidR="00D143B1" w:rsidRPr="006F156C" w:rsidRDefault="00ED2746" w:rsidP="006F156C">
            <w:pPr>
              <w:jc w:val="center"/>
              <w:rPr>
                <w:rFonts w:cstheme="minorHAnsi"/>
                <w:b/>
                <w:i/>
              </w:rPr>
            </w:pPr>
            <w:proofErr w:type="spellStart"/>
            <w:r w:rsidRPr="006F156C">
              <w:rPr>
                <w:rFonts w:cstheme="minorHAnsi"/>
                <w:b/>
                <w:bCs/>
                <w:i/>
                <w:color w:val="000000"/>
              </w:rPr>
              <w:t>electriccloud</w:t>
            </w:r>
            <w:proofErr w:type="spellEnd"/>
          </w:p>
        </w:tc>
        <w:tc>
          <w:tcPr>
            <w:tcW w:w="1701" w:type="dxa"/>
          </w:tcPr>
          <w:p w:rsidR="00D143B1" w:rsidRPr="006F156C" w:rsidRDefault="00ED2746" w:rsidP="006F156C">
            <w:pPr>
              <w:rPr>
                <w:rFonts w:cstheme="minorHAnsi"/>
                <w:b/>
                <w:i/>
              </w:rPr>
            </w:pPr>
            <w:proofErr w:type="spellStart"/>
            <w:r w:rsidRPr="006F156C">
              <w:rPr>
                <w:rFonts w:cstheme="minorHAnsi"/>
                <w:b/>
                <w:bCs/>
                <w:i/>
                <w:color w:val="000000"/>
              </w:rPr>
              <w:t>firstcrycom</w:t>
            </w:r>
            <w:proofErr w:type="spellEnd"/>
          </w:p>
        </w:tc>
      </w:tr>
      <w:tr w:rsidR="00E65020" w:rsidRPr="006F156C" w:rsidTr="00E65020">
        <w:tc>
          <w:tcPr>
            <w:tcW w:w="4106" w:type="dxa"/>
          </w:tcPr>
          <w:p w:rsidR="00D143B1" w:rsidRPr="006F156C" w:rsidRDefault="00D143B1" w:rsidP="00D143B1">
            <w:pPr>
              <w:rPr>
                <w:rFonts w:cstheme="minorHAnsi"/>
              </w:rPr>
            </w:pPr>
            <w:r w:rsidRPr="006F156C">
              <w:rPr>
                <w:rFonts w:cstheme="minorHAnsi"/>
              </w:rPr>
              <w:t>10. For the second-best sector count-wise (point 4), which company received the highest investment?</w:t>
            </w:r>
          </w:p>
          <w:p w:rsidR="00D143B1" w:rsidRPr="006F156C" w:rsidRDefault="00D143B1" w:rsidP="00D143B1">
            <w:pPr>
              <w:rPr>
                <w:rFonts w:cstheme="minorHAnsi"/>
              </w:rPr>
            </w:pPr>
          </w:p>
        </w:tc>
        <w:tc>
          <w:tcPr>
            <w:tcW w:w="1985" w:type="dxa"/>
          </w:tcPr>
          <w:p w:rsidR="00D143B1" w:rsidRPr="006F156C" w:rsidRDefault="00D343D2" w:rsidP="006F156C">
            <w:pPr>
              <w:jc w:val="center"/>
              <w:rPr>
                <w:rFonts w:cstheme="minorHAnsi"/>
                <w:b/>
                <w:i/>
              </w:rPr>
            </w:pPr>
            <w:proofErr w:type="spellStart"/>
            <w:r w:rsidRPr="006F156C">
              <w:rPr>
                <w:rFonts w:cstheme="minorHAnsi"/>
                <w:b/>
                <w:bCs/>
                <w:i/>
                <w:color w:val="000000"/>
              </w:rPr>
              <w:t>biodesix</w:t>
            </w:r>
            <w:proofErr w:type="spellEnd"/>
          </w:p>
        </w:tc>
        <w:tc>
          <w:tcPr>
            <w:tcW w:w="1701" w:type="dxa"/>
          </w:tcPr>
          <w:p w:rsidR="00D143B1" w:rsidRPr="006F156C" w:rsidRDefault="00D343D2" w:rsidP="006F156C">
            <w:pPr>
              <w:jc w:val="center"/>
              <w:rPr>
                <w:rFonts w:cstheme="minorHAnsi"/>
                <w:b/>
                <w:i/>
              </w:rPr>
            </w:pPr>
            <w:proofErr w:type="spellStart"/>
            <w:r w:rsidRPr="006F156C">
              <w:rPr>
                <w:rFonts w:cstheme="minorHAnsi"/>
                <w:b/>
                <w:bCs/>
                <w:i/>
                <w:color w:val="000000"/>
              </w:rPr>
              <w:t>eusapharma</w:t>
            </w:r>
            <w:proofErr w:type="spellEnd"/>
          </w:p>
        </w:tc>
        <w:tc>
          <w:tcPr>
            <w:tcW w:w="1701" w:type="dxa"/>
          </w:tcPr>
          <w:p w:rsidR="00D143B1" w:rsidRPr="006F156C" w:rsidRDefault="00D343D2" w:rsidP="006F156C">
            <w:pPr>
              <w:jc w:val="center"/>
              <w:rPr>
                <w:rFonts w:cstheme="minorHAnsi"/>
                <w:b/>
                <w:i/>
              </w:rPr>
            </w:pPr>
            <w:proofErr w:type="spellStart"/>
            <w:r w:rsidRPr="006F156C">
              <w:rPr>
                <w:rFonts w:cstheme="minorHAnsi"/>
                <w:b/>
                <w:bCs/>
                <w:i/>
                <w:color w:val="000000"/>
              </w:rPr>
              <w:t>gupshuptechnologyindiapvtltd</w:t>
            </w:r>
            <w:proofErr w:type="spellEnd"/>
          </w:p>
        </w:tc>
      </w:tr>
    </w:tbl>
    <w:p w:rsidR="001C29AF" w:rsidRDefault="001C29AF"/>
    <w:sectPr w:rsidR="001C2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9F"/>
    <w:rsid w:val="00046EDA"/>
    <w:rsid w:val="000D7AA2"/>
    <w:rsid w:val="00197FC9"/>
    <w:rsid w:val="001C29AF"/>
    <w:rsid w:val="0031319F"/>
    <w:rsid w:val="00391E60"/>
    <w:rsid w:val="004C0770"/>
    <w:rsid w:val="005920D6"/>
    <w:rsid w:val="006F156C"/>
    <w:rsid w:val="007626A3"/>
    <w:rsid w:val="0096553B"/>
    <w:rsid w:val="00A30392"/>
    <w:rsid w:val="00A34F92"/>
    <w:rsid w:val="00AB4471"/>
    <w:rsid w:val="00C50247"/>
    <w:rsid w:val="00CD24AD"/>
    <w:rsid w:val="00D143B1"/>
    <w:rsid w:val="00D343D2"/>
    <w:rsid w:val="00DB66CD"/>
    <w:rsid w:val="00DD59EF"/>
    <w:rsid w:val="00E65020"/>
    <w:rsid w:val="00E90890"/>
    <w:rsid w:val="00ED2746"/>
    <w:rsid w:val="00F61823"/>
    <w:rsid w:val="00FF1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27C6"/>
  <w15:chartTrackingRefBased/>
  <w15:docId w15:val="{09ADA9E6-AD81-498B-AE8B-A338D6F6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29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C0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077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1C29A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29AF"/>
    <w:rPr>
      <w:b/>
      <w:bCs/>
    </w:rPr>
  </w:style>
  <w:style w:type="character" w:styleId="Hyperlink">
    <w:name w:val="Hyperlink"/>
    <w:basedOn w:val="DefaultParagraphFont"/>
    <w:uiPriority w:val="99"/>
    <w:semiHidden/>
    <w:unhideWhenUsed/>
    <w:rsid w:val="001C29AF"/>
    <w:rPr>
      <w:color w:val="0000FF"/>
      <w:u w:val="single"/>
    </w:rPr>
  </w:style>
  <w:style w:type="character" w:styleId="Emphasis">
    <w:name w:val="Emphasis"/>
    <w:basedOn w:val="DefaultParagraphFont"/>
    <w:uiPriority w:val="20"/>
    <w:qFormat/>
    <w:rsid w:val="001C2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4994">
      <w:bodyDiv w:val="1"/>
      <w:marLeft w:val="0"/>
      <w:marRight w:val="0"/>
      <w:marTop w:val="0"/>
      <w:marBottom w:val="0"/>
      <w:divBdr>
        <w:top w:val="none" w:sz="0" w:space="0" w:color="auto"/>
        <w:left w:val="none" w:sz="0" w:space="0" w:color="auto"/>
        <w:bottom w:val="none" w:sz="0" w:space="0" w:color="auto"/>
        <w:right w:val="none" w:sz="0" w:space="0" w:color="auto"/>
      </w:divBdr>
    </w:div>
    <w:div w:id="344793733">
      <w:bodyDiv w:val="1"/>
      <w:marLeft w:val="0"/>
      <w:marRight w:val="0"/>
      <w:marTop w:val="0"/>
      <w:marBottom w:val="0"/>
      <w:divBdr>
        <w:top w:val="none" w:sz="0" w:space="0" w:color="auto"/>
        <w:left w:val="none" w:sz="0" w:space="0" w:color="auto"/>
        <w:bottom w:val="none" w:sz="0" w:space="0" w:color="auto"/>
        <w:right w:val="none" w:sz="0" w:space="0" w:color="auto"/>
      </w:divBdr>
    </w:div>
    <w:div w:id="382411084">
      <w:bodyDiv w:val="1"/>
      <w:marLeft w:val="0"/>
      <w:marRight w:val="0"/>
      <w:marTop w:val="0"/>
      <w:marBottom w:val="0"/>
      <w:divBdr>
        <w:top w:val="none" w:sz="0" w:space="0" w:color="auto"/>
        <w:left w:val="none" w:sz="0" w:space="0" w:color="auto"/>
        <w:bottom w:val="none" w:sz="0" w:space="0" w:color="auto"/>
        <w:right w:val="none" w:sz="0" w:space="0" w:color="auto"/>
      </w:divBdr>
    </w:div>
    <w:div w:id="466631500">
      <w:bodyDiv w:val="1"/>
      <w:marLeft w:val="0"/>
      <w:marRight w:val="0"/>
      <w:marTop w:val="0"/>
      <w:marBottom w:val="0"/>
      <w:divBdr>
        <w:top w:val="none" w:sz="0" w:space="0" w:color="auto"/>
        <w:left w:val="none" w:sz="0" w:space="0" w:color="auto"/>
        <w:bottom w:val="none" w:sz="0" w:space="0" w:color="auto"/>
        <w:right w:val="none" w:sz="0" w:space="0" w:color="auto"/>
      </w:divBdr>
    </w:div>
    <w:div w:id="536359094">
      <w:bodyDiv w:val="1"/>
      <w:marLeft w:val="0"/>
      <w:marRight w:val="0"/>
      <w:marTop w:val="0"/>
      <w:marBottom w:val="0"/>
      <w:divBdr>
        <w:top w:val="none" w:sz="0" w:space="0" w:color="auto"/>
        <w:left w:val="none" w:sz="0" w:space="0" w:color="auto"/>
        <w:bottom w:val="none" w:sz="0" w:space="0" w:color="auto"/>
        <w:right w:val="none" w:sz="0" w:space="0" w:color="auto"/>
      </w:divBdr>
    </w:div>
    <w:div w:id="709107217">
      <w:bodyDiv w:val="1"/>
      <w:marLeft w:val="0"/>
      <w:marRight w:val="0"/>
      <w:marTop w:val="0"/>
      <w:marBottom w:val="0"/>
      <w:divBdr>
        <w:top w:val="none" w:sz="0" w:space="0" w:color="auto"/>
        <w:left w:val="none" w:sz="0" w:space="0" w:color="auto"/>
        <w:bottom w:val="none" w:sz="0" w:space="0" w:color="auto"/>
        <w:right w:val="none" w:sz="0" w:space="0" w:color="auto"/>
      </w:divBdr>
    </w:div>
    <w:div w:id="796526000">
      <w:bodyDiv w:val="1"/>
      <w:marLeft w:val="0"/>
      <w:marRight w:val="0"/>
      <w:marTop w:val="0"/>
      <w:marBottom w:val="0"/>
      <w:divBdr>
        <w:top w:val="none" w:sz="0" w:space="0" w:color="auto"/>
        <w:left w:val="none" w:sz="0" w:space="0" w:color="auto"/>
        <w:bottom w:val="none" w:sz="0" w:space="0" w:color="auto"/>
        <w:right w:val="none" w:sz="0" w:space="0" w:color="auto"/>
      </w:divBdr>
    </w:div>
    <w:div w:id="846485130">
      <w:bodyDiv w:val="1"/>
      <w:marLeft w:val="0"/>
      <w:marRight w:val="0"/>
      <w:marTop w:val="0"/>
      <w:marBottom w:val="0"/>
      <w:divBdr>
        <w:top w:val="none" w:sz="0" w:space="0" w:color="auto"/>
        <w:left w:val="none" w:sz="0" w:space="0" w:color="auto"/>
        <w:bottom w:val="none" w:sz="0" w:space="0" w:color="auto"/>
        <w:right w:val="none" w:sz="0" w:space="0" w:color="auto"/>
      </w:divBdr>
    </w:div>
    <w:div w:id="960764567">
      <w:bodyDiv w:val="1"/>
      <w:marLeft w:val="0"/>
      <w:marRight w:val="0"/>
      <w:marTop w:val="0"/>
      <w:marBottom w:val="0"/>
      <w:divBdr>
        <w:top w:val="none" w:sz="0" w:space="0" w:color="auto"/>
        <w:left w:val="none" w:sz="0" w:space="0" w:color="auto"/>
        <w:bottom w:val="none" w:sz="0" w:space="0" w:color="auto"/>
        <w:right w:val="none" w:sz="0" w:space="0" w:color="auto"/>
      </w:divBdr>
    </w:div>
    <w:div w:id="1142698929">
      <w:bodyDiv w:val="1"/>
      <w:marLeft w:val="0"/>
      <w:marRight w:val="0"/>
      <w:marTop w:val="0"/>
      <w:marBottom w:val="0"/>
      <w:divBdr>
        <w:top w:val="none" w:sz="0" w:space="0" w:color="auto"/>
        <w:left w:val="none" w:sz="0" w:space="0" w:color="auto"/>
        <w:bottom w:val="none" w:sz="0" w:space="0" w:color="auto"/>
        <w:right w:val="none" w:sz="0" w:space="0" w:color="auto"/>
      </w:divBdr>
    </w:div>
    <w:div w:id="1148011368">
      <w:bodyDiv w:val="1"/>
      <w:marLeft w:val="0"/>
      <w:marRight w:val="0"/>
      <w:marTop w:val="0"/>
      <w:marBottom w:val="0"/>
      <w:divBdr>
        <w:top w:val="none" w:sz="0" w:space="0" w:color="auto"/>
        <w:left w:val="none" w:sz="0" w:space="0" w:color="auto"/>
        <w:bottom w:val="none" w:sz="0" w:space="0" w:color="auto"/>
        <w:right w:val="none" w:sz="0" w:space="0" w:color="auto"/>
      </w:divBdr>
    </w:div>
    <w:div w:id="1199469961">
      <w:bodyDiv w:val="1"/>
      <w:marLeft w:val="0"/>
      <w:marRight w:val="0"/>
      <w:marTop w:val="0"/>
      <w:marBottom w:val="0"/>
      <w:divBdr>
        <w:top w:val="none" w:sz="0" w:space="0" w:color="auto"/>
        <w:left w:val="none" w:sz="0" w:space="0" w:color="auto"/>
        <w:bottom w:val="none" w:sz="0" w:space="0" w:color="auto"/>
        <w:right w:val="none" w:sz="0" w:space="0" w:color="auto"/>
      </w:divBdr>
    </w:div>
    <w:div w:id="1241988312">
      <w:bodyDiv w:val="1"/>
      <w:marLeft w:val="0"/>
      <w:marRight w:val="0"/>
      <w:marTop w:val="0"/>
      <w:marBottom w:val="0"/>
      <w:divBdr>
        <w:top w:val="none" w:sz="0" w:space="0" w:color="auto"/>
        <w:left w:val="none" w:sz="0" w:space="0" w:color="auto"/>
        <w:bottom w:val="none" w:sz="0" w:space="0" w:color="auto"/>
        <w:right w:val="none" w:sz="0" w:space="0" w:color="auto"/>
      </w:divBdr>
      <w:divsChild>
        <w:div w:id="533033813">
          <w:marLeft w:val="0"/>
          <w:marRight w:val="0"/>
          <w:marTop w:val="0"/>
          <w:marBottom w:val="0"/>
          <w:divBdr>
            <w:top w:val="single" w:sz="6" w:space="4" w:color="ABABAB"/>
            <w:left w:val="single" w:sz="6" w:space="4" w:color="ABABAB"/>
            <w:bottom w:val="single" w:sz="6" w:space="4" w:color="ABABAB"/>
            <w:right w:val="single" w:sz="6" w:space="4" w:color="ABABAB"/>
          </w:divBdr>
          <w:divsChild>
            <w:div w:id="862018817">
              <w:marLeft w:val="0"/>
              <w:marRight w:val="0"/>
              <w:marTop w:val="0"/>
              <w:marBottom w:val="0"/>
              <w:divBdr>
                <w:top w:val="none" w:sz="0" w:space="0" w:color="auto"/>
                <w:left w:val="none" w:sz="0" w:space="0" w:color="auto"/>
                <w:bottom w:val="none" w:sz="0" w:space="0" w:color="auto"/>
                <w:right w:val="none" w:sz="0" w:space="0" w:color="auto"/>
              </w:divBdr>
              <w:divsChild>
                <w:div w:id="1544631151">
                  <w:marLeft w:val="0"/>
                  <w:marRight w:val="0"/>
                  <w:marTop w:val="0"/>
                  <w:marBottom w:val="0"/>
                  <w:divBdr>
                    <w:top w:val="none" w:sz="0" w:space="0" w:color="auto"/>
                    <w:left w:val="none" w:sz="0" w:space="0" w:color="auto"/>
                    <w:bottom w:val="none" w:sz="0" w:space="0" w:color="auto"/>
                    <w:right w:val="none" w:sz="0" w:space="0" w:color="auto"/>
                  </w:divBdr>
                  <w:divsChild>
                    <w:div w:id="7114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8714">
          <w:marLeft w:val="0"/>
          <w:marRight w:val="0"/>
          <w:marTop w:val="0"/>
          <w:marBottom w:val="0"/>
          <w:divBdr>
            <w:top w:val="single" w:sz="6" w:space="4" w:color="auto"/>
            <w:left w:val="single" w:sz="6" w:space="4" w:color="auto"/>
            <w:bottom w:val="single" w:sz="6" w:space="4" w:color="auto"/>
            <w:right w:val="single" w:sz="6" w:space="4" w:color="auto"/>
          </w:divBdr>
          <w:divsChild>
            <w:div w:id="6543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676">
      <w:bodyDiv w:val="1"/>
      <w:marLeft w:val="0"/>
      <w:marRight w:val="0"/>
      <w:marTop w:val="0"/>
      <w:marBottom w:val="0"/>
      <w:divBdr>
        <w:top w:val="none" w:sz="0" w:space="0" w:color="auto"/>
        <w:left w:val="none" w:sz="0" w:space="0" w:color="auto"/>
        <w:bottom w:val="none" w:sz="0" w:space="0" w:color="auto"/>
        <w:right w:val="none" w:sz="0" w:space="0" w:color="auto"/>
      </w:divBdr>
    </w:div>
    <w:div w:id="1426608097">
      <w:bodyDiv w:val="1"/>
      <w:marLeft w:val="0"/>
      <w:marRight w:val="0"/>
      <w:marTop w:val="0"/>
      <w:marBottom w:val="0"/>
      <w:divBdr>
        <w:top w:val="none" w:sz="0" w:space="0" w:color="auto"/>
        <w:left w:val="none" w:sz="0" w:space="0" w:color="auto"/>
        <w:bottom w:val="none" w:sz="0" w:space="0" w:color="auto"/>
        <w:right w:val="none" w:sz="0" w:space="0" w:color="auto"/>
      </w:divBdr>
    </w:div>
    <w:div w:id="1518077859">
      <w:bodyDiv w:val="1"/>
      <w:marLeft w:val="0"/>
      <w:marRight w:val="0"/>
      <w:marTop w:val="0"/>
      <w:marBottom w:val="0"/>
      <w:divBdr>
        <w:top w:val="none" w:sz="0" w:space="0" w:color="auto"/>
        <w:left w:val="none" w:sz="0" w:space="0" w:color="auto"/>
        <w:bottom w:val="none" w:sz="0" w:space="0" w:color="auto"/>
        <w:right w:val="none" w:sz="0" w:space="0" w:color="auto"/>
      </w:divBdr>
    </w:div>
    <w:div w:id="1573924308">
      <w:bodyDiv w:val="1"/>
      <w:marLeft w:val="0"/>
      <w:marRight w:val="0"/>
      <w:marTop w:val="0"/>
      <w:marBottom w:val="0"/>
      <w:divBdr>
        <w:top w:val="none" w:sz="0" w:space="0" w:color="auto"/>
        <w:left w:val="none" w:sz="0" w:space="0" w:color="auto"/>
        <w:bottom w:val="none" w:sz="0" w:space="0" w:color="auto"/>
        <w:right w:val="none" w:sz="0" w:space="0" w:color="auto"/>
      </w:divBdr>
    </w:div>
    <w:div w:id="1658070173">
      <w:bodyDiv w:val="1"/>
      <w:marLeft w:val="0"/>
      <w:marRight w:val="0"/>
      <w:marTop w:val="0"/>
      <w:marBottom w:val="0"/>
      <w:divBdr>
        <w:top w:val="none" w:sz="0" w:space="0" w:color="auto"/>
        <w:left w:val="none" w:sz="0" w:space="0" w:color="auto"/>
        <w:bottom w:val="none" w:sz="0" w:space="0" w:color="auto"/>
        <w:right w:val="none" w:sz="0" w:space="0" w:color="auto"/>
      </w:divBdr>
    </w:div>
    <w:div w:id="1690988084">
      <w:bodyDiv w:val="1"/>
      <w:marLeft w:val="0"/>
      <w:marRight w:val="0"/>
      <w:marTop w:val="0"/>
      <w:marBottom w:val="0"/>
      <w:divBdr>
        <w:top w:val="none" w:sz="0" w:space="0" w:color="auto"/>
        <w:left w:val="none" w:sz="0" w:space="0" w:color="auto"/>
        <w:bottom w:val="none" w:sz="0" w:space="0" w:color="auto"/>
        <w:right w:val="none" w:sz="0" w:space="0" w:color="auto"/>
      </w:divBdr>
    </w:div>
    <w:div w:id="1885288227">
      <w:bodyDiv w:val="1"/>
      <w:marLeft w:val="0"/>
      <w:marRight w:val="0"/>
      <w:marTop w:val="0"/>
      <w:marBottom w:val="0"/>
      <w:divBdr>
        <w:top w:val="none" w:sz="0" w:space="0" w:color="auto"/>
        <w:left w:val="none" w:sz="0" w:space="0" w:color="auto"/>
        <w:bottom w:val="none" w:sz="0" w:space="0" w:color="auto"/>
        <w:right w:val="none" w:sz="0" w:space="0" w:color="auto"/>
      </w:divBdr>
      <w:divsChild>
        <w:div w:id="975181810">
          <w:marLeft w:val="0"/>
          <w:marRight w:val="0"/>
          <w:marTop w:val="0"/>
          <w:marBottom w:val="0"/>
          <w:divBdr>
            <w:top w:val="single" w:sz="6" w:space="4" w:color="ABABAB"/>
            <w:left w:val="single" w:sz="6" w:space="4" w:color="ABABAB"/>
            <w:bottom w:val="single" w:sz="6" w:space="4" w:color="ABABAB"/>
            <w:right w:val="single" w:sz="6" w:space="4" w:color="ABABAB"/>
          </w:divBdr>
          <w:divsChild>
            <w:div w:id="463431212">
              <w:marLeft w:val="0"/>
              <w:marRight w:val="0"/>
              <w:marTop w:val="0"/>
              <w:marBottom w:val="0"/>
              <w:divBdr>
                <w:top w:val="none" w:sz="0" w:space="0" w:color="auto"/>
                <w:left w:val="none" w:sz="0" w:space="0" w:color="auto"/>
                <w:bottom w:val="none" w:sz="0" w:space="0" w:color="auto"/>
                <w:right w:val="none" w:sz="0" w:space="0" w:color="auto"/>
              </w:divBdr>
              <w:divsChild>
                <w:div w:id="1708528859">
                  <w:marLeft w:val="0"/>
                  <w:marRight w:val="0"/>
                  <w:marTop w:val="0"/>
                  <w:marBottom w:val="0"/>
                  <w:divBdr>
                    <w:top w:val="none" w:sz="0" w:space="0" w:color="auto"/>
                    <w:left w:val="none" w:sz="0" w:space="0" w:color="auto"/>
                    <w:bottom w:val="none" w:sz="0" w:space="0" w:color="auto"/>
                    <w:right w:val="none" w:sz="0" w:space="0" w:color="auto"/>
                  </w:divBdr>
                  <w:divsChild>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3244">
          <w:marLeft w:val="0"/>
          <w:marRight w:val="0"/>
          <w:marTop w:val="0"/>
          <w:marBottom w:val="0"/>
          <w:divBdr>
            <w:top w:val="single" w:sz="6" w:space="4" w:color="auto"/>
            <w:left w:val="single" w:sz="6" w:space="4" w:color="auto"/>
            <w:bottom w:val="single" w:sz="6" w:space="4" w:color="auto"/>
            <w:right w:val="single" w:sz="6" w:space="4" w:color="auto"/>
          </w:divBdr>
          <w:divsChild>
            <w:div w:id="6454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928">
      <w:bodyDiv w:val="1"/>
      <w:marLeft w:val="0"/>
      <w:marRight w:val="0"/>
      <w:marTop w:val="0"/>
      <w:marBottom w:val="0"/>
      <w:divBdr>
        <w:top w:val="none" w:sz="0" w:space="0" w:color="auto"/>
        <w:left w:val="none" w:sz="0" w:space="0" w:color="auto"/>
        <w:bottom w:val="none" w:sz="0" w:space="0" w:color="auto"/>
        <w:right w:val="none" w:sz="0" w:space="0" w:color="auto"/>
      </w:divBdr>
    </w:div>
    <w:div w:id="2017460913">
      <w:bodyDiv w:val="1"/>
      <w:marLeft w:val="0"/>
      <w:marRight w:val="0"/>
      <w:marTop w:val="0"/>
      <w:marBottom w:val="0"/>
      <w:divBdr>
        <w:top w:val="none" w:sz="0" w:space="0" w:color="auto"/>
        <w:left w:val="none" w:sz="0" w:space="0" w:color="auto"/>
        <w:bottom w:val="none" w:sz="0" w:space="0" w:color="auto"/>
        <w:right w:val="none" w:sz="0" w:space="0" w:color="auto"/>
      </w:divBdr>
    </w:div>
    <w:div w:id="2020425201">
      <w:bodyDiv w:val="1"/>
      <w:marLeft w:val="0"/>
      <w:marRight w:val="0"/>
      <w:marTop w:val="0"/>
      <w:marBottom w:val="0"/>
      <w:divBdr>
        <w:top w:val="none" w:sz="0" w:space="0" w:color="auto"/>
        <w:left w:val="none" w:sz="0" w:space="0" w:color="auto"/>
        <w:bottom w:val="none" w:sz="0" w:space="0" w:color="auto"/>
        <w:right w:val="none" w:sz="0" w:space="0" w:color="auto"/>
      </w:divBdr>
      <w:divsChild>
        <w:div w:id="1260413411">
          <w:marLeft w:val="0"/>
          <w:marRight w:val="0"/>
          <w:marTop w:val="0"/>
          <w:marBottom w:val="0"/>
          <w:divBdr>
            <w:top w:val="single" w:sz="6" w:space="4" w:color="ABABAB"/>
            <w:left w:val="single" w:sz="6" w:space="4" w:color="ABABAB"/>
            <w:bottom w:val="single" w:sz="6" w:space="4" w:color="ABABAB"/>
            <w:right w:val="single" w:sz="6" w:space="4" w:color="ABABAB"/>
          </w:divBdr>
          <w:divsChild>
            <w:div w:id="1384257660">
              <w:marLeft w:val="0"/>
              <w:marRight w:val="0"/>
              <w:marTop w:val="0"/>
              <w:marBottom w:val="0"/>
              <w:divBdr>
                <w:top w:val="none" w:sz="0" w:space="0" w:color="auto"/>
                <w:left w:val="none" w:sz="0" w:space="0" w:color="auto"/>
                <w:bottom w:val="none" w:sz="0" w:space="0" w:color="auto"/>
                <w:right w:val="none" w:sz="0" w:space="0" w:color="auto"/>
              </w:divBdr>
              <w:divsChild>
                <w:div w:id="601256910">
                  <w:marLeft w:val="0"/>
                  <w:marRight w:val="0"/>
                  <w:marTop w:val="0"/>
                  <w:marBottom w:val="0"/>
                  <w:divBdr>
                    <w:top w:val="none" w:sz="0" w:space="0" w:color="auto"/>
                    <w:left w:val="none" w:sz="0" w:space="0" w:color="auto"/>
                    <w:bottom w:val="none" w:sz="0" w:space="0" w:color="auto"/>
                    <w:right w:val="none" w:sz="0" w:space="0" w:color="auto"/>
                  </w:divBdr>
                  <w:divsChild>
                    <w:div w:id="20196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51285">
          <w:marLeft w:val="0"/>
          <w:marRight w:val="0"/>
          <w:marTop w:val="0"/>
          <w:marBottom w:val="0"/>
          <w:divBdr>
            <w:top w:val="single" w:sz="6" w:space="4" w:color="auto"/>
            <w:left w:val="single" w:sz="6" w:space="4" w:color="auto"/>
            <w:bottom w:val="single" w:sz="6" w:space="4" w:color="auto"/>
            <w:right w:val="single" w:sz="6" w:space="4" w:color="auto"/>
          </w:divBdr>
          <w:divsChild>
            <w:div w:id="17040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careers/companies/top-ten-private-equity-pe-firms/" TargetMode="External"/><Relationship Id="rId3" Type="http://schemas.openxmlformats.org/officeDocument/2006/relationships/webSettings" Target="webSettings.xml"/><Relationship Id="rId7" Type="http://schemas.openxmlformats.org/officeDocument/2006/relationships/hyperlink" Target="http://blog.ycombinator.com/the-new-de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poratefinanceinstitute.com/resources/knowledge/valuation/cash-flow-guide-ebitda-cf-fcf-ffcf/" TargetMode="External"/><Relationship Id="rId11" Type="http://schemas.openxmlformats.org/officeDocument/2006/relationships/theme" Target="theme/theme1.xml"/><Relationship Id="rId5" Type="http://schemas.openxmlformats.org/officeDocument/2006/relationships/hyperlink" Target="https://corporatefinanceinstitute.com/resources/knowledge/valuation/cash-flow-guide-ebitda-cf-fcf-ffcf/" TargetMode="External"/><Relationship Id="rId10" Type="http://schemas.openxmlformats.org/officeDocument/2006/relationships/fontTable" Target="fontTable.xml"/><Relationship Id="rId4" Type="http://schemas.openxmlformats.org/officeDocument/2006/relationships/hyperlink" Target="https://corporatefinanceinstitute.com/resources/knowledge/accounting/sales-revenue/" TargetMode="External"/><Relationship Id="rId9" Type="http://schemas.openxmlformats.org/officeDocument/2006/relationships/hyperlink" Target="https://corporatefinanceinstitute.com/resources/careers/jobs/private-equity-vs-venture-capital-vs-angel-s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2019-08-25T11:56:00Z</dcterms:created>
  <dcterms:modified xsi:type="dcterms:W3CDTF">2019-09-11T03:34:00Z</dcterms:modified>
</cp:coreProperties>
</file>