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6B7280"/>
          <w:sz w:val="18"/>
          <w:szCs w:val="18"/>
        </w:rPr>
        <w:t xml:space="preserve">NEED TO LEARN · Volume 2 — Hands-On Series</w:t>
      </w:r>
    </w:p>
    <w:p>
      <w:pPr>
        <w:spacing w:after="120" w:before="120"/>
      </w:pPr>
      <w:r>
        <w:rPr>
          <w:b/>
          <w:bCs/>
          <w:color w:val="1F3864"/>
          <w:sz w:val="44"/>
          <w:szCs w:val="44"/>
        </w:rPr>
        <w:t xml:space="preserve">05 — Cost &amp; Latency Engineering</w:t>
      </w:r>
    </w:p>
    <w:p>
      <w:pPr>
        <w:spacing w:after="200"/>
      </w:pPr>
      <w:r>
        <w:rPr>
          <w:i/>
          <w:iCs/>
          <w:color w:val="6B7280"/>
          <w:sz w:val="24"/>
          <w:szCs w:val="24"/>
        </w:rPr>
        <w:t xml:space="preserve">Token economics, caching, model routing, and the agent multiplier.</w:t>
      </w:r>
    </w:p>
    <w:p>
      <w:pPr>
        <w:pBdr>
          <w:bottom w:val="single" w:color="2E5AAC" w:sz="8"/>
        </w:pBdr>
        <w:spacing w:after="24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1. The mental model</w:t>
      </w:r>
    </w:p>
    <w:p>
      <w:pPr>
        <w:spacing w:after="120" w:line="276"/>
      </w:pPr>
      <w:r>
        <w:t xml:space="preserve">LLM cost = </w:t>
      </w:r>
      <w:r>
        <w:rPr>
          <w:b/>
          <w:bCs/>
        </w:rPr>
        <w:t xml:space="preserve">input tokens × input rate + output tokens × output rate</w:t>
      </w:r>
      <w:r>
        <w:t xml:space="preserve">, summed over every call — including the invisible ones (system prompt, tool definitions, conversation history, retries, agent iterations). Output tokens usually cost ~5× input. Latency ≈ time-to-first-token + output length ÷ generation speed. Nearly every optimization attacks one of those 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91C1C" w:sz="24"/>
              <w:bottom w:val="none"/>
              <w:right w:val="none"/>
            </w:tcBorders>
            <w:shd w:fill="FD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PITFALL — The agent multiplier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10-turn agent resends its whole context every turn. A 20k-token context × 10 turns = 200k input tokens for one task. Agents amplify every context-size decision by the number of turns — this is why Vol 1's context engineering is also cost engineering.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2. The optimization toolbox (in order of ROI)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Measure first.</w:t>
      </w:r>
      <w:r>
        <w:t xml:space="preserve"> Log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usage</w:t>
      </w:r>
      <w:r>
        <w:t xml:space="preserve"> per call, tagged by feature. You cannot cut what you cannot see. Weekly per-feature cost report — 30 lines of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Prompt caching.</w:t>
      </w:r>
      <w:r>
        <w:t xml:space="preserve"> Stable prefix (system prompt, tool defs, reference docs) cached = ~90% off those tokens on every subsequent call. For agents this is the single biggest lever — the 10-turn multiplier above mostly evaporates.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Right-size the model.</w:t>
      </w:r>
      <w:r>
        <w:t xml:space="preserve"> Route by difficulty: cheap fast models (Haiku-class) for classification/extraction/routing, mid for drafting, top (Opus/Fable-class) for architecture and review. The project's dev-senior/dev-mid routing is this pattern; a router prompt on a cheap model can do the triage.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Cap and trim output.</w:t>
      </w:r>
      <w:r>
        <w:t xml:space="preserve"> max_tokens tight; ask for terse formats ('JSON only', 'max 5 bullets'). Output is the expensive direction AND the latency driver.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Trim context.</w:t>
      </w:r>
      <w:r>
        <w:t xml:space="preserve"> Summarize old turns; retrieve only relevant chunks (Doc 06); prune dead tool definitions. Context rot costs quality AND money.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Batch API</w:t>
      </w:r>
      <w:r>
        <w:t xml:space="preserve"> for anything offline: 50% off evals, backfills, nightly jobs.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Parallelize</w:t>
      </w:r>
      <w:r>
        <w:t xml:space="preserve"> independent calls for latency (not cost); stream everything user-facing.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3.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2500"/>
        <w:gridCol w:w="146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4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Levers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Support-ticket triage, 10k tickets/day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Top model, 2k-token prompt each, free-text answers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Haiku-class + cached 2k prompt + JSON enum output, top model only for the 4% 'escalate' class</w:t>
            </w:r>
          </w:p>
        </w:tc>
        <w:tc>
          <w:tcPr>
            <w:tcW w:type="dxa" w:w="1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routing + caching + output capping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Effect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~$300/day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~$25/day</w:t>
            </w:r>
          </w:p>
        </w:tc>
        <w:tc>
          <w:tcPr>
            <w:tcW w:type="dxa" w:w="1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≈ 92% saving, same measured accuracy (Doc 03 eval proves it)</w:t>
            </w:r>
          </w:p>
        </w:tc>
      </w:tr>
    </w:tbl>
    <w:p>
      <w:pPr>
        <w:spacing w:after="120" w:line="276"/>
      </w:pPr>
      <w:r>
        <w:t xml:space="preserve">The eval harness is what makes cost work safe: you prove the cheap path holds accuracy </w:t>
      </w:r>
      <w:r>
        <w:rPr>
          <w:i/>
          <w:iCs/>
        </w:rPr>
        <w:t xml:space="preserve">before</w:t>
      </w:r>
      <w:r>
        <w:t xml:space="preserve"> switching.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Labs &amp;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A3E" w:sz="24"/>
              <w:bottom w:val="none"/>
              <w:right w:val="none"/>
            </w:tcBorders>
            <w:shd w:fill="E7F1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3E7A3E"/>
                <w:sz w:val="21"/>
                <w:szCs w:val="21"/>
              </w:rPr>
              <w:t xml:space="preserve">LAB — Doc 05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1: Instrument any lab from Doc 01–04 to log tokens per call; produce a cost-per-task figure.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2: Add prompt caching and measure the real saving across 20 calls.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3: Build a 2-tier router: cheap model classifies difficulty, hard cases go to the big model. Eval accuracy and cost vs big-model-only.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  <w:sz w:val="21"/>
                <w:szCs w:val="21"/>
              </w:rPr>
              <w:t xml:space="preserve">QUIZ — Doc 05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Q1. Why do agents multiply context costs, and which feature neutralizes most of it?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Q2. Why attack output tokens before input tokens?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Q3. What must exist before you downgrade a model tier, and why?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21A8" w:sz="24"/>
              <w:bottom w:val="none"/>
              <w:right w:val="none"/>
            </w:tcBorders>
            <w:shd w:fill="F3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1"/>
                <w:szCs w:val="21"/>
              </w:rPr>
              <w:t xml:space="preserve">Answers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A1. Full context is resent every turn; prompt caching makes the stable prefix nearly free after turn 1.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A2. Output is ~5× the price per token and directly drives latency.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A3. An eval (golden set + grader): it proves accuracy survives the downgrade — otherwise you're trading correctness for pennies, invisibly.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05 — Cost &amp; Latency Engineering — Need to 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— Cost &amp; Latency Engineering</dc:title>
  <dc:creator>Presales Team</dc:creator>
  <cp:lastModifiedBy>Un-named</cp:lastModifiedBy>
  <cp:revision>1</cp:revision>
  <dcterms:created xsi:type="dcterms:W3CDTF">2026-07-13T20:24:35.541Z</dcterms:created>
  <dcterms:modified xsi:type="dcterms:W3CDTF">2026-07-13T20:24:35.541Z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