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A1584" w14:textId="77777777" w:rsidR="00E65E42" w:rsidRDefault="00000000">
      <w:pPr>
        <w:spacing w:before="480" w:after="120"/>
        <w:jc w:val="center"/>
      </w:pPr>
      <w:r>
        <w:rPr>
          <w:rFonts w:ascii="Calibri" w:eastAsia="Calibri" w:hAnsi="Calibri" w:cs="Calibri"/>
          <w:b/>
          <w:bCs/>
          <w:color w:val="1A1A2E"/>
          <w:sz w:val="36"/>
          <w:szCs w:val="36"/>
        </w:rPr>
        <w:t>Paper Reading Task</w:t>
      </w:r>
    </w:p>
    <w:p w14:paraId="23881743" w14:textId="77777777" w:rsidR="00E65E42" w:rsidRDefault="00000000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1A7A8A"/>
          <w:sz w:val="22"/>
          <w:szCs w:val="22"/>
        </w:rPr>
        <w:t>Two Papers on V2X Missing Data and V2X Trajectory Prediction</w:t>
      </w:r>
    </w:p>
    <w:p w14:paraId="36F1228F" w14:textId="77777777" w:rsidR="00E65E42" w:rsidRDefault="00000000">
      <w:pPr>
        <w:spacing w:after="480"/>
        <w:jc w:val="center"/>
      </w:pP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Continuation of your literature review — same repository, same format as Paper 1</w:t>
      </w:r>
    </w:p>
    <w:p w14:paraId="5BC7A1C9" w14:textId="77777777" w:rsidR="00E65E42" w:rsidRDefault="00000000">
      <w:pPr>
        <w:pStyle w:val="Heading1"/>
        <w:shd w:val="clear" w:color="auto" w:fill="0F3460"/>
        <w:spacing w:before="360" w:after="120"/>
        <w:ind w:left="-720" w:right="-72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0.  Why These Two Papers, Right Now</w:t>
      </w:r>
    </w:p>
    <w:p w14:paraId="1496940F" w14:textId="77777777" w:rsidR="00E65E42" w:rsidRDefault="00E65E42">
      <w:pPr>
        <w:spacing w:after="120"/>
      </w:pPr>
    </w:p>
    <w:p w14:paraId="6FBAB679" w14:textId="77777777" w:rsidR="00E65E42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You already read the spatiotemporal imputation paper (Paper 2) and wrote it up in your repo. That gave you the vocabulary for missing data patterns in general — MCAR, MAR, MNAR, and how methods like Prophet and Random Forest handle them.</w:t>
      </w:r>
    </w:p>
    <w:p w14:paraId="68F7348B" w14:textId="77777777" w:rsidR="00E65E42" w:rsidRDefault="00E65E42">
      <w:pPr>
        <w:spacing w:after="120"/>
      </w:pPr>
    </w:p>
    <w:p w14:paraId="6EA7AA9C" w14:textId="77777777" w:rsidR="00E65E42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 xml:space="preserve">These two papers are shorter and narrower. They are not general imputation papers — they are about V2X specifically, which is exactly the environment </w:t>
      </w:r>
      <w:proofErr w:type="gramStart"/>
      <w:r>
        <w:rPr>
          <w:rFonts w:ascii="Calibri" w:eastAsia="Calibri" w:hAnsi="Calibri" w:cs="Calibri"/>
          <w:color w:val="1A1A2E"/>
        </w:rPr>
        <w:t>your</w:t>
      </w:r>
      <w:proofErr w:type="gramEnd"/>
      <w:r>
        <w:rPr>
          <w:rFonts w:ascii="Calibri" w:eastAsia="Calibri" w:hAnsi="Calibri" w:cs="Calibri"/>
          <w:color w:val="1A1A2E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</w:rPr>
        <w:t>inject_</w:t>
      </w:r>
      <w:proofErr w:type="gramStart"/>
      <w:r>
        <w:rPr>
          <w:rFonts w:ascii="Calibri" w:eastAsia="Calibri" w:hAnsi="Calibri" w:cs="Calibri"/>
          <w:color w:val="1A1A2E"/>
        </w:rPr>
        <w:t>sfm</w:t>
      </w:r>
      <w:proofErr w:type="spellEnd"/>
      <w:r>
        <w:rPr>
          <w:rFonts w:ascii="Calibri" w:eastAsia="Calibri" w:hAnsi="Calibri" w:cs="Calibri"/>
          <w:color w:val="1A1A2E"/>
        </w:rPr>
        <w:t>(</w:t>
      </w:r>
      <w:proofErr w:type="gramEnd"/>
      <w:r>
        <w:rPr>
          <w:rFonts w:ascii="Calibri" w:eastAsia="Calibri" w:hAnsi="Calibri" w:cs="Calibri"/>
          <w:color w:val="1A1A2E"/>
        </w:rPr>
        <w:t xml:space="preserve">) and </w:t>
      </w:r>
      <w:proofErr w:type="spellStart"/>
      <w:r>
        <w:rPr>
          <w:rFonts w:ascii="Calibri" w:eastAsia="Calibri" w:hAnsi="Calibri" w:cs="Calibri"/>
          <w:color w:val="1A1A2E"/>
        </w:rPr>
        <w:t>inject_tcm_to_</w:t>
      </w:r>
      <w:proofErr w:type="gramStart"/>
      <w:r>
        <w:rPr>
          <w:rFonts w:ascii="Calibri" w:eastAsia="Calibri" w:hAnsi="Calibri" w:cs="Calibri"/>
          <w:color w:val="1A1A2E"/>
        </w:rPr>
        <w:t>dataset</w:t>
      </w:r>
      <w:proofErr w:type="spellEnd"/>
      <w:r>
        <w:rPr>
          <w:rFonts w:ascii="Calibri" w:eastAsia="Calibri" w:hAnsi="Calibri" w:cs="Calibri"/>
          <w:color w:val="1A1A2E"/>
        </w:rPr>
        <w:t>(</w:t>
      </w:r>
      <w:proofErr w:type="gramEnd"/>
      <w:r>
        <w:rPr>
          <w:rFonts w:ascii="Calibri" w:eastAsia="Calibri" w:hAnsi="Calibri" w:cs="Calibri"/>
          <w:color w:val="1A1A2E"/>
        </w:rPr>
        <w:t>) functions simulate. Reading them will help you understand why the code you already wrote is structured the way it is, not just how to write it.</w:t>
      </w:r>
    </w:p>
    <w:p w14:paraId="31491504" w14:textId="77777777" w:rsidR="00E65E42" w:rsidRDefault="00E65E42">
      <w:pPr>
        <w:spacing w:after="120"/>
      </w:pPr>
    </w:p>
    <w:p w14:paraId="5BB7F51F" w14:textId="77777777" w:rsidR="00E65E42" w:rsidRDefault="00000000">
      <w:pPr>
        <w:pBdr>
          <w:top w:val="single" w:sz="6" w:space="0" w:color="1A7A8A"/>
          <w:left w:val="thick" w:sz="12" w:space="0" w:color="1A7A8A"/>
          <w:bottom w:val="single" w:sz="6" w:space="0" w:color="1A7A8A"/>
          <w:right w:val="single" w:sz="6" w:space="0" w:color="1A7A8A"/>
        </w:pBdr>
        <w:shd w:val="clear" w:color="auto" w:fill="E8F4F8"/>
        <w:spacing w:before="80" w:after="80"/>
        <w:ind w:left="280"/>
      </w:pPr>
      <w:r>
        <w:rPr>
          <w:rFonts w:ascii="Calibri" w:eastAsia="Calibri" w:hAnsi="Calibri" w:cs="Calibri"/>
          <w:color w:val="1A1A2E"/>
        </w:rPr>
        <w:t>This is not urgent and does not block your Week 4 Kalman Filter work. Do it in parallel, in whatever spare time you have this week. Target: both write-ups finished before you start Channel 1 implementation.</w:t>
      </w:r>
    </w:p>
    <w:p w14:paraId="3B4388B8" w14:textId="77777777" w:rsidR="00E65E42" w:rsidRDefault="00E65E42">
      <w:pPr>
        <w:spacing w:after="120"/>
      </w:pPr>
    </w:p>
    <w:p w14:paraId="28E0C83F" w14:textId="77777777" w:rsidR="00E65E42" w:rsidRDefault="00000000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The Two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"/>
        <w:gridCol w:w="6608"/>
        <w:gridCol w:w="1288"/>
        <w:gridCol w:w="1109"/>
      </w:tblGrid>
      <w:tr w:rsidR="00E65E42" w14:paraId="5D54138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shd w:val="clear" w:color="auto" w:fill="16213E"/>
          </w:tcPr>
          <w:p w14:paraId="526EE4B7" w14:textId="77777777" w:rsidR="00E65E4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80" w:type="dxa"/>
            <w:shd w:val="clear" w:color="auto" w:fill="16213E"/>
          </w:tcPr>
          <w:p w14:paraId="0349136E" w14:textId="77777777" w:rsidR="00E65E4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800" w:type="dxa"/>
            <w:shd w:val="clear" w:color="auto" w:fill="16213E"/>
          </w:tcPr>
          <w:p w14:paraId="257B195C" w14:textId="77777777" w:rsidR="00E65E4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Authors</w:t>
            </w:r>
          </w:p>
        </w:tc>
        <w:tc>
          <w:tcPr>
            <w:tcW w:w="1440" w:type="dxa"/>
            <w:shd w:val="clear" w:color="auto" w:fill="16213E"/>
          </w:tcPr>
          <w:p w14:paraId="7E88B351" w14:textId="77777777" w:rsidR="00E65E4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Venue / Year</w:t>
            </w:r>
          </w:p>
        </w:tc>
      </w:tr>
      <w:tr w:rsidR="00E65E42" w14:paraId="3628D40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shd w:val="clear" w:color="auto" w:fill="FFFFFF"/>
          </w:tcPr>
          <w:p w14:paraId="7D7EDC10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</w:t>
            </w:r>
          </w:p>
        </w:tc>
        <w:tc>
          <w:tcPr>
            <w:tcW w:w="5580" w:type="dxa"/>
            <w:shd w:val="clear" w:color="auto" w:fill="FFFFFF"/>
          </w:tcPr>
          <w:p w14:paraId="06CD5BD6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Paper26_To_Tolerate_or_To_Impute_Missing_Values_in_V2X_Communications_Data.pdf</w:t>
            </w:r>
          </w:p>
        </w:tc>
        <w:tc>
          <w:tcPr>
            <w:tcW w:w="1800" w:type="dxa"/>
            <w:shd w:val="clear" w:color="auto" w:fill="FFFFFF"/>
          </w:tcPr>
          <w:p w14:paraId="0F48C456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Razavi-Far et al.</w:t>
            </w:r>
          </w:p>
        </w:tc>
        <w:tc>
          <w:tcPr>
            <w:tcW w:w="1440" w:type="dxa"/>
            <w:shd w:val="clear" w:color="auto" w:fill="FFFFFF"/>
          </w:tcPr>
          <w:p w14:paraId="75A0D56E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IEEE Internet of Things Journal, 2022</w:t>
            </w:r>
          </w:p>
        </w:tc>
      </w:tr>
      <w:tr w:rsidR="00E65E42" w14:paraId="060C81D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shd w:val="clear" w:color="auto" w:fill="F7FAFC"/>
          </w:tcPr>
          <w:p w14:paraId="575AB5C8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</w:t>
            </w:r>
          </w:p>
        </w:tc>
        <w:tc>
          <w:tcPr>
            <w:tcW w:w="5580" w:type="dxa"/>
            <w:shd w:val="clear" w:color="auto" w:fill="F7FAFC"/>
          </w:tcPr>
          <w:p w14:paraId="4DFC9E0F" w14:textId="77777777" w:rsidR="00E65E42" w:rsidRDefault="00000000">
            <w:proofErr w:type="gram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Paper7_2511.17941v1.pdf  (</w:t>
            </w:r>
            <w:proofErr w:type="gram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V2X-RECT)</w:t>
            </w:r>
          </w:p>
        </w:tc>
        <w:tc>
          <w:tcPr>
            <w:tcW w:w="1800" w:type="dxa"/>
            <w:shd w:val="clear" w:color="auto" w:fill="F7FAFC"/>
          </w:tcPr>
          <w:p w14:paraId="6F488E92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Kong et al.</w:t>
            </w:r>
          </w:p>
        </w:tc>
        <w:tc>
          <w:tcPr>
            <w:tcW w:w="1440" w:type="dxa"/>
            <w:shd w:val="clear" w:color="auto" w:fill="F7FAFC"/>
          </w:tcPr>
          <w:p w14:paraId="4D92712C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IEEE TITS, 2025 (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arXiv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preprint)</w:t>
            </w:r>
          </w:p>
        </w:tc>
      </w:tr>
    </w:tbl>
    <w:p w14:paraId="28DD3127" w14:textId="77777777" w:rsidR="00E65E42" w:rsidRDefault="00E65E42">
      <w:pPr>
        <w:spacing w:after="120"/>
      </w:pPr>
    </w:p>
    <w:p w14:paraId="48B3732B" w14:textId="77777777" w:rsidR="00E65E42" w:rsidRDefault="00000000">
      <w:r>
        <w:br w:type="page"/>
      </w:r>
    </w:p>
    <w:p w14:paraId="275615D5" w14:textId="77777777" w:rsidR="00E65E42" w:rsidRDefault="00000000">
      <w:pPr>
        <w:pStyle w:val="Heading1"/>
        <w:shd w:val="clear" w:color="auto" w:fill="0F3460"/>
        <w:spacing w:before="360" w:after="120"/>
        <w:ind w:left="-720" w:right="-72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lastRenderedPageBreak/>
        <w:t>1.  Paper 26 — "To Tolerate or To Impute Missing Values in V2X Communications Data?"</w:t>
      </w:r>
    </w:p>
    <w:p w14:paraId="2C9064B9" w14:textId="77777777" w:rsidR="00E65E42" w:rsidRDefault="00E65E42">
      <w:pPr>
        <w:spacing w:after="120"/>
      </w:pPr>
    </w:p>
    <w:p w14:paraId="3A74C69A" w14:textId="77777777" w:rsidR="00E65E42" w:rsidRDefault="00000000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 xml:space="preserve">Why This Paper Matters </w:t>
      </w:r>
      <w:proofErr w:type="gramStart"/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To</w:t>
      </w:r>
      <w:proofErr w:type="gramEnd"/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 xml:space="preserve"> Our Project</w:t>
      </w:r>
    </w:p>
    <w:p w14:paraId="2CF3E108" w14:textId="77777777" w:rsidR="00E65E42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 xml:space="preserve">This is the only paper in the entire collection that studies missing data specifically inside V2X communication — your exact deployment context. The application in the paper is </w:t>
      </w:r>
      <w:proofErr w:type="spellStart"/>
      <w:r>
        <w:rPr>
          <w:rFonts w:ascii="Calibri" w:eastAsia="Calibri" w:hAnsi="Calibri" w:cs="Calibri"/>
          <w:color w:val="1A1A2E"/>
        </w:rPr>
        <w:t>misbehavior</w:t>
      </w:r>
      <w:proofErr w:type="spellEnd"/>
      <w:r>
        <w:rPr>
          <w:rFonts w:ascii="Calibri" w:eastAsia="Calibri" w:hAnsi="Calibri" w:cs="Calibri"/>
          <w:color w:val="1A1A2E"/>
        </w:rPr>
        <w:t xml:space="preserve"> detection (security), not trajectory prediction, but the missing data problem they describe is the same category of problem as SFM and TCM.</w:t>
      </w:r>
    </w:p>
    <w:p w14:paraId="230CB6A4" w14:textId="77777777" w:rsidR="00E65E42" w:rsidRDefault="00E65E42">
      <w:pPr>
        <w:spacing w:after="120"/>
      </w:pPr>
    </w:p>
    <w:p w14:paraId="39C7770A" w14:textId="77777777" w:rsidR="00E65E42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They propose a framework called INSERT that systematically injects missing data into V2X communications with controlled ratios, mechanisms, and distributions. That is structurally the same thing you already built — just applied to a different downstream task.</w:t>
      </w:r>
    </w:p>
    <w:p w14:paraId="342E7CB8" w14:textId="77777777" w:rsidR="00E65E42" w:rsidRDefault="00E65E42">
      <w:pPr>
        <w:spacing w:after="120"/>
      </w:pPr>
    </w:p>
    <w:p w14:paraId="7673809F" w14:textId="77777777" w:rsidR="00E65E42" w:rsidRDefault="00000000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Reading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60"/>
        <w:gridCol w:w="5400"/>
      </w:tblGrid>
      <w:tr w:rsidR="00E65E42" w14:paraId="5E216B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6213E"/>
          </w:tcPr>
          <w:p w14:paraId="481A558A" w14:textId="77777777" w:rsidR="00E65E4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1560" w:type="dxa"/>
            <w:shd w:val="clear" w:color="auto" w:fill="16213E"/>
          </w:tcPr>
          <w:p w14:paraId="355059B0" w14:textId="77777777" w:rsidR="00E65E4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 / Skip</w:t>
            </w:r>
          </w:p>
        </w:tc>
        <w:tc>
          <w:tcPr>
            <w:tcW w:w="5400" w:type="dxa"/>
            <w:shd w:val="clear" w:color="auto" w:fill="16213E"/>
          </w:tcPr>
          <w:p w14:paraId="668D8482" w14:textId="77777777" w:rsidR="00E65E4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What to focus on</w:t>
            </w:r>
          </w:p>
        </w:tc>
      </w:tr>
      <w:tr w:rsidR="00E65E42" w14:paraId="16CB79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432CE719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Abstract</w:t>
            </w:r>
          </w:p>
        </w:tc>
        <w:tc>
          <w:tcPr>
            <w:tcW w:w="1560" w:type="dxa"/>
            <w:shd w:val="clear" w:color="auto" w:fill="FFFFFF"/>
          </w:tcPr>
          <w:p w14:paraId="2CAA91B6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Read fully</w:t>
            </w:r>
          </w:p>
        </w:tc>
        <w:tc>
          <w:tcPr>
            <w:tcW w:w="5400" w:type="dxa"/>
            <w:shd w:val="clear" w:color="auto" w:fill="FFFFFF"/>
          </w:tcPr>
          <w:p w14:paraId="26A4AE9D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What problem are they solving, and what are their two proposed methods (COLI and MTE-RD)?</w:t>
            </w:r>
          </w:p>
        </w:tc>
      </w:tr>
      <w:tr w:rsidR="00E65E42" w14:paraId="242FC6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AFC"/>
          </w:tcPr>
          <w:p w14:paraId="16EFD485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Section I — Introduction</w:t>
            </w:r>
          </w:p>
        </w:tc>
        <w:tc>
          <w:tcPr>
            <w:tcW w:w="1560" w:type="dxa"/>
            <w:shd w:val="clear" w:color="auto" w:fill="F7FAFC"/>
          </w:tcPr>
          <w:p w14:paraId="09B8C245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Read fully</w:t>
            </w:r>
          </w:p>
        </w:tc>
        <w:tc>
          <w:tcPr>
            <w:tcW w:w="5400" w:type="dxa"/>
            <w:shd w:val="clear" w:color="auto" w:fill="F7FAFC"/>
          </w:tcPr>
          <w:p w14:paraId="10017D47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Why complete-data assumptions fail in real V2X systems. List every cause of missing data they mention.</w:t>
            </w:r>
          </w:p>
        </w:tc>
      </w:tr>
      <w:tr w:rsidR="00E65E42" w14:paraId="3ED463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57E71D9D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Section III — INSERT framework</w:t>
            </w:r>
          </w:p>
        </w:tc>
        <w:tc>
          <w:tcPr>
            <w:tcW w:w="1560" w:type="dxa"/>
            <w:shd w:val="clear" w:color="auto" w:fill="FFFFFF"/>
          </w:tcPr>
          <w:p w14:paraId="586806A5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Read fully</w:t>
            </w:r>
          </w:p>
        </w:tc>
        <w:tc>
          <w:tcPr>
            <w:tcW w:w="5400" w:type="dxa"/>
            <w:shd w:val="clear" w:color="auto" w:fill="FFFFFF"/>
          </w:tcPr>
          <w:p w14:paraId="29D3D663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How they inject missingness (ratios, mechanisms, distributions). Compare this to </w:t>
            </w:r>
            <w:proofErr w:type="gram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your</w:t>
            </w:r>
            <w:proofErr w:type="gram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inject_</w:t>
            </w:r>
            <w:proofErr w:type="gram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sfm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) logic.</w:t>
            </w:r>
          </w:p>
        </w:tc>
      </w:tr>
      <w:tr w:rsidR="00E65E42" w14:paraId="5C81FA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AFC"/>
          </w:tcPr>
          <w:p w14:paraId="75041AD6" w14:textId="77777777" w:rsidR="00E65E42" w:rsidRDefault="00000000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Misbehavior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detection methodology (COLI, MTE-RD details)</w:t>
            </w:r>
          </w:p>
        </w:tc>
        <w:tc>
          <w:tcPr>
            <w:tcW w:w="1560" w:type="dxa"/>
            <w:shd w:val="clear" w:color="auto" w:fill="F7FAFC"/>
          </w:tcPr>
          <w:p w14:paraId="39866C45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SKIP</w:t>
            </w:r>
          </w:p>
        </w:tc>
        <w:tc>
          <w:tcPr>
            <w:tcW w:w="5400" w:type="dxa"/>
            <w:shd w:val="clear" w:color="auto" w:fill="F7FAFC"/>
          </w:tcPr>
          <w:p w14:paraId="74F45586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Not your domain. Do not get lost in the classifier details — it will waste your time.</w:t>
            </w:r>
          </w:p>
        </w:tc>
      </w:tr>
      <w:tr w:rsidR="00E65E42" w14:paraId="5B4648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016C494C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Experiments / Results tables</w:t>
            </w:r>
          </w:p>
        </w:tc>
        <w:tc>
          <w:tcPr>
            <w:tcW w:w="1560" w:type="dxa"/>
            <w:shd w:val="clear" w:color="auto" w:fill="FFFFFF"/>
          </w:tcPr>
          <w:p w14:paraId="32449C9C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Skim only</w:t>
            </w:r>
          </w:p>
        </w:tc>
        <w:tc>
          <w:tcPr>
            <w:tcW w:w="5400" w:type="dxa"/>
            <w:shd w:val="clear" w:color="auto" w:fill="FFFFFF"/>
          </w:tcPr>
          <w:p w14:paraId="0D38E8C3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You just need to know imputation beat tolerance in their results — you don't need the exact numbers.</w:t>
            </w:r>
          </w:p>
        </w:tc>
      </w:tr>
    </w:tbl>
    <w:p w14:paraId="3266E599" w14:textId="77777777" w:rsidR="00E65E42" w:rsidRDefault="00E65E42">
      <w:pPr>
        <w:spacing w:after="120"/>
      </w:pPr>
    </w:p>
    <w:p w14:paraId="3082F87F" w14:textId="77777777" w:rsidR="00E65E42" w:rsidRDefault="00000000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 xml:space="preserve">Key Concept </w:t>
      </w:r>
      <w:proofErr w:type="gramStart"/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To</w:t>
      </w:r>
      <w:proofErr w:type="gramEnd"/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 xml:space="preserve"> Extract</w:t>
      </w:r>
    </w:p>
    <w:p w14:paraId="2B83F8C7" w14:textId="77777777" w:rsidR="00E65E42" w:rsidRDefault="00000000">
      <w:pPr>
        <w:pBdr>
          <w:top w:val="single" w:sz="6" w:space="0" w:color="1A7A8A"/>
          <w:left w:val="thick" w:sz="12" w:space="0" w:color="1A7A8A"/>
          <w:bottom w:val="single" w:sz="6" w:space="0" w:color="1A7A8A"/>
          <w:right w:val="single" w:sz="6" w:space="0" w:color="1A7A8A"/>
        </w:pBdr>
        <w:shd w:val="clear" w:color="auto" w:fill="E8F4F8"/>
        <w:spacing w:before="80" w:after="80"/>
        <w:ind w:left="280"/>
      </w:pPr>
      <w:r>
        <w:rPr>
          <w:rFonts w:ascii="Calibri" w:eastAsia="Calibri" w:hAnsi="Calibri" w:cs="Calibri"/>
          <w:color w:val="1A1A2E"/>
        </w:rPr>
        <w:t>The "tolerate vs impute" decision: sometimes it is better to build a model that works directly with missing data (tolerate) rather than filling in the gaps first (impute). Our project is firmly on the impute side — a trajectory predictor cannot tolerate a permanently missing neighbour-state column and still make a safe collision prediction. Understand WHY that trade-off exists before you write your answer to Question 2 below.</w:t>
      </w:r>
    </w:p>
    <w:p w14:paraId="00EBBF91" w14:textId="77777777" w:rsidR="00E65E42" w:rsidRDefault="00E65E42">
      <w:pPr>
        <w:spacing w:after="120"/>
      </w:pPr>
    </w:p>
    <w:p w14:paraId="6F20C5E9" w14:textId="77777777" w:rsidR="00E65E42" w:rsidRDefault="00000000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Analysis Questions — Answer All Four</w:t>
      </w:r>
    </w:p>
    <w:p w14:paraId="57556A3D" w14:textId="77777777" w:rsidR="00E65E42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Write 3-5 sentences per question, in your own words. Do not copy sentences from the paper — if you catch yourself doing that, stop and re-explain it as if you were telling a classmate who hasn't read the paper.</w:t>
      </w:r>
    </w:p>
    <w:p w14:paraId="02D98F70" w14:textId="77777777" w:rsidR="00E65E42" w:rsidRDefault="00E65E42">
      <w:pPr>
        <w:spacing w:after="120"/>
      </w:pPr>
    </w:p>
    <w:p w14:paraId="6F607707" w14:textId="77777777" w:rsidR="00E65E42" w:rsidRDefault="00000000">
      <w:pPr>
        <w:spacing w:before="60" w:after="60"/>
        <w:ind w:left="360" w:hanging="260"/>
      </w:pPr>
      <w:r>
        <w:rPr>
          <w:rFonts w:ascii="Calibri" w:eastAsia="Calibri" w:hAnsi="Calibri" w:cs="Calibri"/>
          <w:b/>
          <w:bCs/>
          <w:color w:val="0F3460"/>
        </w:rPr>
        <w:t xml:space="preserve">1.  </w:t>
      </w:r>
      <w:r>
        <w:rPr>
          <w:rFonts w:ascii="Calibri" w:eastAsia="Calibri" w:hAnsi="Calibri" w:cs="Calibri"/>
          <w:color w:val="1A1A2E"/>
        </w:rPr>
        <w:t xml:space="preserve">What causes missing data in V2X communications according to this paper? List every </w:t>
      </w:r>
      <w:proofErr w:type="gramStart"/>
      <w:r>
        <w:rPr>
          <w:rFonts w:ascii="Calibri" w:eastAsia="Calibri" w:hAnsi="Calibri" w:cs="Calibri"/>
          <w:color w:val="1A1A2E"/>
        </w:rPr>
        <w:t>cause</w:t>
      </w:r>
      <w:proofErr w:type="gramEnd"/>
      <w:r>
        <w:rPr>
          <w:rFonts w:ascii="Calibri" w:eastAsia="Calibri" w:hAnsi="Calibri" w:cs="Calibri"/>
          <w:color w:val="1A1A2E"/>
        </w:rPr>
        <w:t xml:space="preserve"> they mention.</w:t>
      </w:r>
    </w:p>
    <w:p w14:paraId="62C3425A" w14:textId="77777777" w:rsidR="00E65E42" w:rsidRDefault="00000000">
      <w:pPr>
        <w:spacing w:before="60" w:after="60"/>
        <w:ind w:left="360" w:hanging="260"/>
      </w:pPr>
      <w:r>
        <w:rPr>
          <w:rFonts w:ascii="Calibri" w:eastAsia="Calibri" w:hAnsi="Calibri" w:cs="Calibri"/>
          <w:b/>
          <w:bCs/>
          <w:color w:val="0F3460"/>
        </w:rPr>
        <w:t xml:space="preserve">2.  </w:t>
      </w:r>
      <w:r>
        <w:rPr>
          <w:rFonts w:ascii="Calibri" w:eastAsia="Calibri" w:hAnsi="Calibri" w:cs="Calibri"/>
          <w:color w:val="1A1A2E"/>
        </w:rPr>
        <w:t>What is the "tolerate vs impute" framework? Which side does our project sit on, and why?</w:t>
      </w:r>
    </w:p>
    <w:p w14:paraId="77D55C5F" w14:textId="77777777" w:rsidR="00E65E42" w:rsidRDefault="00000000">
      <w:pPr>
        <w:spacing w:before="60" w:after="60"/>
        <w:ind w:left="360" w:hanging="260"/>
      </w:pPr>
      <w:r>
        <w:rPr>
          <w:rFonts w:ascii="Calibri" w:eastAsia="Calibri" w:hAnsi="Calibri" w:cs="Calibri"/>
          <w:b/>
          <w:bCs/>
          <w:color w:val="0F3460"/>
        </w:rPr>
        <w:t xml:space="preserve">3.  </w:t>
      </w:r>
      <w:r>
        <w:rPr>
          <w:rFonts w:ascii="Calibri" w:eastAsia="Calibri" w:hAnsi="Calibri" w:cs="Calibri"/>
          <w:color w:val="1A1A2E"/>
        </w:rPr>
        <w:t xml:space="preserve">How does their INSERT missingness injection framework compare to what you already built in </w:t>
      </w:r>
      <w:proofErr w:type="spellStart"/>
      <w:r>
        <w:rPr>
          <w:rFonts w:ascii="Calibri" w:eastAsia="Calibri" w:hAnsi="Calibri" w:cs="Calibri"/>
          <w:color w:val="1A1A2E"/>
        </w:rPr>
        <w:t>inject_</w:t>
      </w:r>
      <w:proofErr w:type="gramStart"/>
      <w:r>
        <w:rPr>
          <w:rFonts w:ascii="Calibri" w:eastAsia="Calibri" w:hAnsi="Calibri" w:cs="Calibri"/>
          <w:color w:val="1A1A2E"/>
        </w:rPr>
        <w:t>sfm</w:t>
      </w:r>
      <w:proofErr w:type="spellEnd"/>
      <w:r>
        <w:rPr>
          <w:rFonts w:ascii="Calibri" w:eastAsia="Calibri" w:hAnsi="Calibri" w:cs="Calibri"/>
          <w:color w:val="1A1A2E"/>
        </w:rPr>
        <w:t>(</w:t>
      </w:r>
      <w:proofErr w:type="gramEnd"/>
      <w:r>
        <w:rPr>
          <w:rFonts w:ascii="Calibri" w:eastAsia="Calibri" w:hAnsi="Calibri" w:cs="Calibri"/>
          <w:color w:val="1A1A2E"/>
        </w:rPr>
        <w:t xml:space="preserve">) and </w:t>
      </w:r>
      <w:proofErr w:type="spellStart"/>
      <w:r>
        <w:rPr>
          <w:rFonts w:ascii="Calibri" w:eastAsia="Calibri" w:hAnsi="Calibri" w:cs="Calibri"/>
          <w:color w:val="1A1A2E"/>
        </w:rPr>
        <w:t>inject_tcm_to_</w:t>
      </w:r>
      <w:proofErr w:type="gramStart"/>
      <w:r>
        <w:rPr>
          <w:rFonts w:ascii="Calibri" w:eastAsia="Calibri" w:hAnsi="Calibri" w:cs="Calibri"/>
          <w:color w:val="1A1A2E"/>
        </w:rPr>
        <w:t>dataset</w:t>
      </w:r>
      <w:proofErr w:type="spellEnd"/>
      <w:r>
        <w:rPr>
          <w:rFonts w:ascii="Calibri" w:eastAsia="Calibri" w:hAnsi="Calibri" w:cs="Calibri"/>
          <w:color w:val="1A1A2E"/>
        </w:rPr>
        <w:t>(</w:t>
      </w:r>
      <w:proofErr w:type="gramEnd"/>
      <w:r>
        <w:rPr>
          <w:rFonts w:ascii="Calibri" w:eastAsia="Calibri" w:hAnsi="Calibri" w:cs="Calibri"/>
          <w:color w:val="1A1A2E"/>
        </w:rPr>
        <w:t>)? What is similar, and what is different?</w:t>
      </w:r>
    </w:p>
    <w:p w14:paraId="4F459502" w14:textId="77777777" w:rsidR="00E65E42" w:rsidRDefault="00000000">
      <w:pPr>
        <w:spacing w:before="60" w:after="60"/>
        <w:ind w:left="360" w:hanging="260"/>
      </w:pPr>
      <w:r>
        <w:rPr>
          <w:rFonts w:ascii="Calibri" w:eastAsia="Calibri" w:hAnsi="Calibri" w:cs="Calibri"/>
          <w:b/>
          <w:bCs/>
          <w:color w:val="0F3460"/>
        </w:rPr>
        <w:t xml:space="preserve">4.  </w:t>
      </w:r>
      <w:r>
        <w:rPr>
          <w:rFonts w:ascii="Calibri" w:eastAsia="Calibri" w:hAnsi="Calibri" w:cs="Calibri"/>
          <w:color w:val="1A1A2E"/>
        </w:rPr>
        <w:t xml:space="preserve">This paper is about </w:t>
      </w:r>
      <w:proofErr w:type="spellStart"/>
      <w:r>
        <w:rPr>
          <w:rFonts w:ascii="Calibri" w:eastAsia="Calibri" w:hAnsi="Calibri" w:cs="Calibri"/>
          <w:color w:val="1A1A2E"/>
        </w:rPr>
        <w:t>misbehavior</w:t>
      </w:r>
      <w:proofErr w:type="spellEnd"/>
      <w:r>
        <w:rPr>
          <w:rFonts w:ascii="Calibri" w:eastAsia="Calibri" w:hAnsi="Calibri" w:cs="Calibri"/>
          <w:color w:val="1A1A2E"/>
        </w:rPr>
        <w:t xml:space="preserve"> detection (a security task), not trajectory prediction. Does that change how directly it applies to our project, or does the missing-data problem transfer regardless of the downstream task? Explain your reasoning.</w:t>
      </w:r>
    </w:p>
    <w:p w14:paraId="3B72482A" w14:textId="77777777" w:rsidR="00E65E42" w:rsidRDefault="00E65E42">
      <w:pPr>
        <w:spacing w:after="120"/>
      </w:pPr>
    </w:p>
    <w:p w14:paraId="2A475651" w14:textId="77777777" w:rsidR="00E65E42" w:rsidRDefault="00000000">
      <w:r>
        <w:br w:type="page"/>
      </w:r>
    </w:p>
    <w:p w14:paraId="0DC719DA" w14:textId="77777777" w:rsidR="00E65E42" w:rsidRDefault="00000000">
      <w:pPr>
        <w:pStyle w:val="Heading1"/>
        <w:shd w:val="clear" w:color="auto" w:fill="0F3460"/>
        <w:spacing w:before="360" w:after="120"/>
        <w:ind w:left="-720" w:right="-72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lastRenderedPageBreak/>
        <w:t>2.  Paper 7 — "V2X-RECT: Redundant Interaction Filtering and Tracking Error Correction"</w:t>
      </w:r>
    </w:p>
    <w:p w14:paraId="2A376B0E" w14:textId="77777777" w:rsidR="00E65E42" w:rsidRDefault="00E65E42">
      <w:pPr>
        <w:spacing w:after="120"/>
      </w:pPr>
    </w:p>
    <w:p w14:paraId="2B12CE08" w14:textId="77777777" w:rsidR="00E65E42" w:rsidRDefault="00000000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 xml:space="preserve">Why This Paper Matters </w:t>
      </w:r>
      <w:proofErr w:type="gramStart"/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To</w:t>
      </w:r>
      <w:proofErr w:type="gramEnd"/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 xml:space="preserve"> Our Project</w:t>
      </w:r>
    </w:p>
    <w:p w14:paraId="0B76C97F" w14:textId="77777777" w:rsidR="00E65E42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This paper sits on the other side of the pipeline from Paper 26. It is an actual trajectory prediction system that consumes V2X data — the same task category as the LSTM predictor we will build in Step 10. It shows what state-of-the-art V2X trajectory prediction looks like, and what problems remain even when the field's best methods are used.</w:t>
      </w:r>
    </w:p>
    <w:p w14:paraId="671CD6A4" w14:textId="77777777" w:rsidR="00E65E42" w:rsidRDefault="00E65E42">
      <w:pPr>
        <w:spacing w:after="120"/>
      </w:pPr>
    </w:p>
    <w:p w14:paraId="586332AF" w14:textId="77777777" w:rsidR="00E65E42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Their "tracking error correction" module solves a different problem from our Channel 2 (GRU-D) — they fix identity switching from multi-source fusion, we fix burst packet loss — but both are examples of the same idea: raw V2X data reaching a predictor is never clean, and something has to fix it first.</w:t>
      </w:r>
    </w:p>
    <w:p w14:paraId="709C4CFF" w14:textId="77777777" w:rsidR="00E65E42" w:rsidRDefault="00E65E42">
      <w:pPr>
        <w:spacing w:after="120"/>
      </w:pPr>
    </w:p>
    <w:p w14:paraId="3742C248" w14:textId="77777777" w:rsidR="00E65E42" w:rsidRDefault="00000000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Reading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60"/>
        <w:gridCol w:w="5400"/>
      </w:tblGrid>
      <w:tr w:rsidR="00E65E42" w14:paraId="5CD5A5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6213E"/>
          </w:tcPr>
          <w:p w14:paraId="17241083" w14:textId="77777777" w:rsidR="00E65E4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1560" w:type="dxa"/>
            <w:shd w:val="clear" w:color="auto" w:fill="16213E"/>
          </w:tcPr>
          <w:p w14:paraId="5D9A2896" w14:textId="77777777" w:rsidR="00E65E4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 / Skip</w:t>
            </w:r>
          </w:p>
        </w:tc>
        <w:tc>
          <w:tcPr>
            <w:tcW w:w="5400" w:type="dxa"/>
            <w:shd w:val="clear" w:color="auto" w:fill="16213E"/>
          </w:tcPr>
          <w:p w14:paraId="7E13E8C4" w14:textId="77777777" w:rsidR="00E65E4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What to focus on</w:t>
            </w:r>
          </w:p>
        </w:tc>
      </w:tr>
      <w:tr w:rsidR="00E65E42" w14:paraId="74A2BE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0B2AF677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Abstract</w:t>
            </w:r>
          </w:p>
        </w:tc>
        <w:tc>
          <w:tcPr>
            <w:tcW w:w="1560" w:type="dxa"/>
            <w:shd w:val="clear" w:color="auto" w:fill="FFFFFF"/>
          </w:tcPr>
          <w:p w14:paraId="0A3DF2EC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Read fully</w:t>
            </w:r>
          </w:p>
        </w:tc>
        <w:tc>
          <w:tcPr>
            <w:tcW w:w="5400" w:type="dxa"/>
            <w:shd w:val="clear" w:color="auto" w:fill="FFFFFF"/>
          </w:tcPr>
          <w:p w14:paraId="059D0A59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What two problems does V2X-RECT solve? (Hint: one is about </w:t>
            </w:r>
            <w:proofErr w:type="gram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identity,</w:t>
            </w:r>
            <w:proofErr w:type="gram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one is about computation.)</w:t>
            </w:r>
          </w:p>
        </w:tc>
      </w:tr>
      <w:tr w:rsidR="00E65E42" w14:paraId="5BD762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AFC"/>
          </w:tcPr>
          <w:p w14:paraId="22663630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Section I — Introduction</w:t>
            </w:r>
          </w:p>
        </w:tc>
        <w:tc>
          <w:tcPr>
            <w:tcW w:w="1560" w:type="dxa"/>
            <w:shd w:val="clear" w:color="auto" w:fill="F7FAFC"/>
          </w:tcPr>
          <w:p w14:paraId="46399CB0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Read fully</w:t>
            </w:r>
          </w:p>
        </w:tc>
        <w:tc>
          <w:tcPr>
            <w:tcW w:w="5400" w:type="dxa"/>
            <w:shd w:val="clear" w:color="auto" w:fill="F7FAFC"/>
          </w:tcPr>
          <w:p w14:paraId="2B3CF031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How does occlusion / limited line-of-sight motivate cooperative (V2X) prediction in the first place?</w:t>
            </w:r>
          </w:p>
        </w:tc>
      </w:tr>
      <w:tr w:rsidR="00E65E42" w14:paraId="214606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70FD5FEB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Model architecture (attention mechanisms, encoding math)</w:t>
            </w:r>
          </w:p>
        </w:tc>
        <w:tc>
          <w:tcPr>
            <w:tcW w:w="1560" w:type="dxa"/>
            <w:shd w:val="clear" w:color="auto" w:fill="FFFFFF"/>
          </w:tcPr>
          <w:p w14:paraId="4355BCAC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SKIP</w:t>
            </w:r>
          </w:p>
        </w:tc>
        <w:tc>
          <w:tcPr>
            <w:tcW w:w="5400" w:type="dxa"/>
            <w:shd w:val="clear" w:color="auto" w:fill="FFFFFF"/>
          </w:tcPr>
          <w:p w14:paraId="4B33E787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Too advanced for now. You do not need the equations to answer the questions below.</w:t>
            </w:r>
          </w:p>
        </w:tc>
      </w:tr>
      <w:tr w:rsidR="00E65E42" w14:paraId="37D3F7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AFC"/>
          </w:tcPr>
          <w:p w14:paraId="1664E80B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Section IV — Experimental setup</w:t>
            </w:r>
          </w:p>
        </w:tc>
        <w:tc>
          <w:tcPr>
            <w:tcW w:w="1560" w:type="dxa"/>
            <w:shd w:val="clear" w:color="auto" w:fill="F7FAFC"/>
          </w:tcPr>
          <w:p w14:paraId="3826A43F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Read fully</w:t>
            </w:r>
          </w:p>
        </w:tc>
        <w:tc>
          <w:tcPr>
            <w:tcW w:w="5400" w:type="dxa"/>
            <w:shd w:val="clear" w:color="auto" w:fill="F7FAFC"/>
          </w:tcPr>
          <w:p w14:paraId="3D77CBD8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What datasets do they use? Are they simulated or real-world?</w:t>
            </w:r>
          </w:p>
        </w:tc>
      </w:tr>
      <w:tr w:rsidR="00E65E42" w14:paraId="24A7E2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59D78277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Results tables / ablations</w:t>
            </w:r>
          </w:p>
        </w:tc>
        <w:tc>
          <w:tcPr>
            <w:tcW w:w="1560" w:type="dxa"/>
            <w:shd w:val="clear" w:color="auto" w:fill="FFFFFF"/>
          </w:tcPr>
          <w:p w14:paraId="3BB4F223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Skim only</w:t>
            </w:r>
          </w:p>
        </w:tc>
        <w:tc>
          <w:tcPr>
            <w:tcW w:w="5400" w:type="dxa"/>
            <w:shd w:val="clear" w:color="auto" w:fill="FFFFFF"/>
          </w:tcPr>
          <w:p w14:paraId="27B9F990" w14:textId="77777777" w:rsidR="00E65E42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Just note that identity-switch correction measurably improves accuracy — you don't need exact numbers.</w:t>
            </w:r>
          </w:p>
        </w:tc>
      </w:tr>
    </w:tbl>
    <w:p w14:paraId="57B3C17C" w14:textId="77777777" w:rsidR="00E65E42" w:rsidRDefault="00E65E42">
      <w:pPr>
        <w:spacing w:after="120"/>
      </w:pPr>
    </w:p>
    <w:p w14:paraId="2612A00B" w14:textId="77777777" w:rsidR="00E65E42" w:rsidRDefault="00000000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 xml:space="preserve">Key Concept </w:t>
      </w:r>
      <w:proofErr w:type="gramStart"/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To</w:t>
      </w:r>
      <w:proofErr w:type="gramEnd"/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 xml:space="preserve"> Extract</w:t>
      </w:r>
    </w:p>
    <w:p w14:paraId="33929259" w14:textId="77777777" w:rsidR="00E65E42" w:rsidRDefault="00000000">
      <w:pPr>
        <w:pBdr>
          <w:top w:val="single" w:sz="6" w:space="0" w:color="1A7A8A"/>
          <w:left w:val="thick" w:sz="12" w:space="0" w:color="1A7A8A"/>
          <w:bottom w:val="single" w:sz="6" w:space="0" w:color="1A7A8A"/>
          <w:right w:val="single" w:sz="6" w:space="0" w:color="1A7A8A"/>
        </w:pBdr>
        <w:shd w:val="clear" w:color="auto" w:fill="E8F4F8"/>
        <w:spacing w:before="80" w:after="80"/>
        <w:ind w:left="280"/>
      </w:pPr>
      <w:r>
        <w:rPr>
          <w:rFonts w:ascii="Calibri" w:eastAsia="Calibri" w:hAnsi="Calibri" w:cs="Calibri"/>
          <w:color w:val="1A1A2E"/>
        </w:rPr>
        <w:t>"ID switch" — when the same vehicle is assigned a different identity across time steps or across viewpoints (or two different vehicles are merged into one identity) during multi-source tracking. This corrupts the trajectory history the predictor sees, in a way that is structurally different from SFM or TCM but produces a similar downstream effect: garbage input to the predictor.</w:t>
      </w:r>
    </w:p>
    <w:p w14:paraId="19053DB2" w14:textId="77777777" w:rsidR="00E65E42" w:rsidRDefault="00E65E42">
      <w:pPr>
        <w:spacing w:after="120"/>
      </w:pPr>
    </w:p>
    <w:p w14:paraId="791C9593" w14:textId="77777777" w:rsidR="00E65E42" w:rsidRDefault="00000000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Analysis Questions — Answer All Four</w:t>
      </w:r>
    </w:p>
    <w:p w14:paraId="58A32648" w14:textId="77777777" w:rsidR="00E65E42" w:rsidRDefault="00E65E42">
      <w:pPr>
        <w:spacing w:after="120"/>
      </w:pPr>
    </w:p>
    <w:p w14:paraId="060077FE" w14:textId="77777777" w:rsidR="00E65E42" w:rsidRDefault="00000000">
      <w:pPr>
        <w:spacing w:before="60" w:after="60"/>
        <w:ind w:left="360" w:hanging="260"/>
      </w:pPr>
      <w:r>
        <w:rPr>
          <w:rFonts w:ascii="Calibri" w:eastAsia="Calibri" w:hAnsi="Calibri" w:cs="Calibri"/>
          <w:b/>
          <w:bCs/>
          <w:color w:val="0F3460"/>
        </w:rPr>
        <w:t xml:space="preserve">1.  </w:t>
      </w:r>
      <w:r>
        <w:rPr>
          <w:rFonts w:ascii="Calibri" w:eastAsia="Calibri" w:hAnsi="Calibri" w:cs="Calibri"/>
          <w:color w:val="1A1A2E"/>
        </w:rPr>
        <w:t>What is "ID switch" and why does it hurt trajectory prediction accuracy?</w:t>
      </w:r>
    </w:p>
    <w:p w14:paraId="5B080AF6" w14:textId="77777777" w:rsidR="00E65E42" w:rsidRDefault="00000000">
      <w:pPr>
        <w:spacing w:before="60" w:after="60"/>
        <w:ind w:left="360" w:hanging="260"/>
      </w:pPr>
      <w:r>
        <w:rPr>
          <w:rFonts w:ascii="Calibri" w:eastAsia="Calibri" w:hAnsi="Calibri" w:cs="Calibri"/>
          <w:b/>
          <w:bCs/>
          <w:color w:val="0F3460"/>
        </w:rPr>
        <w:t xml:space="preserve">2.  </w:t>
      </w:r>
      <w:r>
        <w:rPr>
          <w:rFonts w:ascii="Calibri" w:eastAsia="Calibri" w:hAnsi="Calibri" w:cs="Calibri"/>
          <w:color w:val="1A1A2E"/>
        </w:rPr>
        <w:t>The paper says multi-source data fusion “inevitably introduces redundant interactions.” Explain what this means in plain terms. Is it a data-quality problem, a computational-efficiency problem, or both?</w:t>
      </w:r>
    </w:p>
    <w:p w14:paraId="5E996857" w14:textId="77777777" w:rsidR="00E65E42" w:rsidRDefault="00000000">
      <w:pPr>
        <w:spacing w:before="60" w:after="60"/>
        <w:ind w:left="360" w:hanging="260"/>
      </w:pPr>
      <w:r>
        <w:rPr>
          <w:rFonts w:ascii="Calibri" w:eastAsia="Calibri" w:hAnsi="Calibri" w:cs="Calibri"/>
          <w:b/>
          <w:bCs/>
          <w:color w:val="0F3460"/>
        </w:rPr>
        <w:t xml:space="preserve">3.  </w:t>
      </w:r>
      <w:r>
        <w:rPr>
          <w:rFonts w:ascii="Calibri" w:eastAsia="Calibri" w:hAnsi="Calibri" w:cs="Calibri"/>
          <w:color w:val="1A1A2E"/>
        </w:rPr>
        <w:t>What datasets do they use (V2X-Seq, V2X-Traj)? Are these simulated or real-world? How does that compare to our SUMO-based approach, and what is the trade-off either way?</w:t>
      </w:r>
    </w:p>
    <w:p w14:paraId="3E44BDCD" w14:textId="77777777" w:rsidR="00E65E42" w:rsidRDefault="00000000">
      <w:pPr>
        <w:spacing w:before="60" w:after="60"/>
        <w:ind w:left="360" w:hanging="260"/>
      </w:pPr>
      <w:r>
        <w:rPr>
          <w:rFonts w:ascii="Calibri" w:eastAsia="Calibri" w:hAnsi="Calibri" w:cs="Calibri"/>
          <w:b/>
          <w:bCs/>
          <w:color w:val="0F3460"/>
        </w:rPr>
        <w:t xml:space="preserve">4.  </w:t>
      </w:r>
      <w:r>
        <w:rPr>
          <w:rFonts w:ascii="Calibri" w:eastAsia="Calibri" w:hAnsi="Calibri" w:cs="Calibri"/>
          <w:color w:val="1A1A2E"/>
        </w:rPr>
        <w:t>V2X-RECT assumes it receives reasonably good V2X data as input — its problems come from elsewhere (fusion, tracking), not from missing data. What does that tell you about the scope of problems our dual-channel imputer needs to solve, compared to the problems V2X-RECT solves?</w:t>
      </w:r>
    </w:p>
    <w:p w14:paraId="6E324666" w14:textId="77777777" w:rsidR="00E65E42" w:rsidRDefault="00E65E42">
      <w:pPr>
        <w:spacing w:after="120"/>
      </w:pPr>
    </w:p>
    <w:p w14:paraId="19C3AA99" w14:textId="77777777" w:rsidR="00E65E42" w:rsidRDefault="00000000">
      <w:r>
        <w:br w:type="page"/>
      </w:r>
    </w:p>
    <w:p w14:paraId="027466A9" w14:textId="77777777" w:rsidR="00E65E42" w:rsidRDefault="00000000">
      <w:pPr>
        <w:pStyle w:val="Heading1"/>
        <w:shd w:val="clear" w:color="auto" w:fill="0F3460"/>
        <w:spacing w:before="360" w:after="120"/>
        <w:ind w:left="-720" w:right="-72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lastRenderedPageBreak/>
        <w:t>3.  Deliverable — Repository Structure</w:t>
      </w:r>
    </w:p>
    <w:p w14:paraId="469301EA" w14:textId="77777777" w:rsidR="00E65E42" w:rsidRDefault="00E65E42">
      <w:pPr>
        <w:spacing w:after="120"/>
      </w:pPr>
    </w:p>
    <w:p w14:paraId="10BD4169" w14:textId="77777777" w:rsidR="00E65E42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Use the exact same repo you created for Paper 2. Add two new folders following the same naming pattern:</w:t>
      </w:r>
    </w:p>
    <w:p w14:paraId="478303A1" w14:textId="77777777" w:rsidR="00E65E42" w:rsidRDefault="00E65E42">
      <w:pPr>
        <w:spacing w:after="120"/>
      </w:pPr>
    </w:p>
    <w:p w14:paraId="082F10F5" w14:textId="77777777" w:rsidR="00E65E4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papers/   paper02_spatiotemporal_imputation/   &lt;- already done     notes.md   paper26_tolerate_or_impute/          &lt;- new     notes.md   paper07_v2x_rect/                    &lt;- new     notes.md</w:t>
      </w:r>
    </w:p>
    <w:p w14:paraId="10AA35D6" w14:textId="77777777" w:rsidR="00E65E42" w:rsidRDefault="00E65E42">
      <w:pPr>
        <w:spacing w:after="120"/>
      </w:pPr>
    </w:p>
    <w:p w14:paraId="6CE01A5F" w14:textId="77777777" w:rsidR="00E65E42" w:rsidRDefault="00000000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Template For Each notes.md</w:t>
      </w:r>
    </w:p>
    <w:p w14:paraId="6C60A139" w14:textId="77777777" w:rsidR="00E65E42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Use this exact structure for both papers so they stay easy to compare later:</w:t>
      </w:r>
    </w:p>
    <w:p w14:paraId="52160B81" w14:textId="77777777" w:rsidR="00E65E42" w:rsidRDefault="00E65E42">
      <w:pPr>
        <w:spacing w:after="120"/>
      </w:pPr>
    </w:p>
    <w:p w14:paraId="32C4412F" w14:textId="77777777" w:rsidR="00E65E4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# [Paper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Title]  *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*Authors / Venue /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Year:**  #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# Problem (2-3 sentences: what problem does this paper solve?)  ## Method (3-5 sentences: how do they solve it? Name the key technique.)  ## Key Takeaway (1-2 sentences: the single most important idea to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remember)  #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# Relevance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To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Our Project (3-5 sentences: how does this connect to SFM, TCM, or Channel 1/2?)  ## Answers To Analysis Questions 1. ... 2. ... 3. ... 4. ...  ## Open Questions (anything you didn't fully understand — bring these to the next check-in)</w:t>
      </w:r>
    </w:p>
    <w:p w14:paraId="2E058270" w14:textId="77777777" w:rsidR="00E65E42" w:rsidRDefault="00E65E42">
      <w:pPr>
        <w:spacing w:after="120"/>
      </w:pPr>
    </w:p>
    <w:p w14:paraId="2469DEC7" w14:textId="77777777" w:rsidR="00E65E42" w:rsidRDefault="00000000">
      <w:pPr>
        <w:pStyle w:val="Heading1"/>
        <w:shd w:val="clear" w:color="auto" w:fill="0F3460"/>
        <w:spacing w:before="360" w:after="120"/>
        <w:ind w:left="-720" w:right="-72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4.  Required — One Connection Paragraph</w:t>
      </w:r>
    </w:p>
    <w:p w14:paraId="0C9434D7" w14:textId="77777777" w:rsidR="00E65E42" w:rsidRDefault="00E65E42">
      <w:pPr>
        <w:spacing w:after="120"/>
      </w:pPr>
    </w:p>
    <w:p w14:paraId="2CBBC697" w14:textId="77777777" w:rsidR="00E65E42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After finishing both notes.md files, create one more file: papers/connections.md</w:t>
      </w:r>
    </w:p>
    <w:p w14:paraId="3ABE6852" w14:textId="77777777" w:rsidR="00E65E42" w:rsidRDefault="00E65E42">
      <w:pPr>
        <w:spacing w:after="120"/>
      </w:pPr>
    </w:p>
    <w:p w14:paraId="35B4E6FC" w14:textId="77777777" w:rsidR="00E65E42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In it, write ONE paragraph (5-8 sentences) explaining how Paper 26 and Paper 7 relate to each other and to our project. This is the hardest part of the task — it requires you to hold both papers in your head at once, not just summarize them separately.</w:t>
      </w:r>
    </w:p>
    <w:p w14:paraId="6AB9E169" w14:textId="77777777" w:rsidR="00E65E42" w:rsidRDefault="00E65E42">
      <w:pPr>
        <w:spacing w:after="120"/>
      </w:pPr>
    </w:p>
    <w:sectPr w:rsidR="00E65E4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A756D"/>
    <w:multiLevelType w:val="hybridMultilevel"/>
    <w:tmpl w:val="62945176"/>
    <w:lvl w:ilvl="0" w:tplc="AD620440">
      <w:start w:val="1"/>
      <w:numFmt w:val="bullet"/>
      <w:lvlText w:val="●"/>
      <w:lvlJc w:val="left"/>
      <w:pPr>
        <w:ind w:left="720" w:hanging="360"/>
      </w:pPr>
    </w:lvl>
    <w:lvl w:ilvl="1" w:tplc="5888B83E">
      <w:start w:val="1"/>
      <w:numFmt w:val="bullet"/>
      <w:lvlText w:val="○"/>
      <w:lvlJc w:val="left"/>
      <w:pPr>
        <w:ind w:left="1440" w:hanging="360"/>
      </w:pPr>
    </w:lvl>
    <w:lvl w:ilvl="2" w:tplc="CF0484F4">
      <w:start w:val="1"/>
      <w:numFmt w:val="bullet"/>
      <w:lvlText w:val="■"/>
      <w:lvlJc w:val="left"/>
      <w:pPr>
        <w:ind w:left="2160" w:hanging="360"/>
      </w:pPr>
    </w:lvl>
    <w:lvl w:ilvl="3" w:tplc="168688DC">
      <w:start w:val="1"/>
      <w:numFmt w:val="bullet"/>
      <w:lvlText w:val="●"/>
      <w:lvlJc w:val="left"/>
      <w:pPr>
        <w:ind w:left="2880" w:hanging="360"/>
      </w:pPr>
    </w:lvl>
    <w:lvl w:ilvl="4" w:tplc="F06AC2A6">
      <w:start w:val="1"/>
      <w:numFmt w:val="bullet"/>
      <w:lvlText w:val="○"/>
      <w:lvlJc w:val="left"/>
      <w:pPr>
        <w:ind w:left="3600" w:hanging="360"/>
      </w:pPr>
    </w:lvl>
    <w:lvl w:ilvl="5" w:tplc="D1BCD54A">
      <w:start w:val="1"/>
      <w:numFmt w:val="bullet"/>
      <w:lvlText w:val="■"/>
      <w:lvlJc w:val="left"/>
      <w:pPr>
        <w:ind w:left="4320" w:hanging="360"/>
      </w:pPr>
    </w:lvl>
    <w:lvl w:ilvl="6" w:tplc="13DE7BB2">
      <w:start w:val="1"/>
      <w:numFmt w:val="bullet"/>
      <w:lvlText w:val="●"/>
      <w:lvlJc w:val="left"/>
      <w:pPr>
        <w:ind w:left="5040" w:hanging="360"/>
      </w:pPr>
    </w:lvl>
    <w:lvl w:ilvl="7" w:tplc="BDD07B2A">
      <w:start w:val="1"/>
      <w:numFmt w:val="bullet"/>
      <w:lvlText w:val="●"/>
      <w:lvlJc w:val="left"/>
      <w:pPr>
        <w:ind w:left="5760" w:hanging="360"/>
      </w:pPr>
    </w:lvl>
    <w:lvl w:ilvl="8" w:tplc="76F8A336">
      <w:start w:val="1"/>
      <w:numFmt w:val="bullet"/>
      <w:lvlText w:val="●"/>
      <w:lvlJc w:val="left"/>
      <w:pPr>
        <w:ind w:left="6480" w:hanging="360"/>
      </w:pPr>
    </w:lvl>
  </w:abstractNum>
  <w:num w:numId="1" w16cid:durableId="20802061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E42"/>
    <w:rsid w:val="00857FCE"/>
    <w:rsid w:val="00CE7CEF"/>
    <w:rsid w:val="00DF790D"/>
    <w:rsid w:val="00E6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94830"/>
  <w15:docId w15:val="{A19F4A03-7C94-4C17-A9CB-A1959F27E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1200</Words>
  <Characters>6845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Bhatt</cp:lastModifiedBy>
  <cp:revision>2</cp:revision>
  <dcterms:created xsi:type="dcterms:W3CDTF">2026-07-17T04:10:00Z</dcterms:created>
  <dcterms:modified xsi:type="dcterms:W3CDTF">2026-07-17T04:24:00Z</dcterms:modified>
</cp:coreProperties>
</file>