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INDIA GOLD LOAN MARKET</w:t>
      </w:r>
    </w:p>
    <w:p>
      <w:pPr>
        <w:spacing w:before="120" w:after="480"/>
        <w:jc w:val="center"/>
      </w:pPr>
      <w:r>
        <w:rPr>
          <w:color w:val="2E75B6"/>
          <w:sz w:val="32"/>
          <w:szCs w:val="32"/>
        </w:rPr>
        <w:t xml:space="preserve">Comprehensive Demographic &amp; Geographic Study</w:t>
      </w:r>
    </w:p>
    <w:p>
      <w:pPr>
        <w:spacing w:after="120"/>
        <w:jc w:val="center"/>
      </w:pPr>
      <w:r>
        <w:rPr>
          <w:sz w:val="26"/>
          <w:szCs w:val="26"/>
        </w:rPr>
        <w:t xml:space="preserve">Tier 1 &amp; Tier 2 Cities Analysis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December 2024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India's gold loan market represents one of the largest secured lending opportunities globally. Indian households hold approximately 27,000 tonnes of gold valued at ₹126+ lakh crore ($1.5+ trillion), yet only 5.6% is monetized through organized channels. The organized gold loan market reached ₹7.1 lakh crore in FY24 and is projected to grow at 14.85% CAGR to reach ₹14.19 lakh crore by FY29.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Total Gold Holdings (India)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27,000 tonnes | ₹126+ lakh crore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Organized Market Size (FY24)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₹7.1 lakh crore (~$80-85 Bn)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Market Penetration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5.6% of household gold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YoY Growth (FY25 till Dec)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71.3%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Projected FY29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₹14.19 lakh crore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CAGR (FY24-FY29)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14.85%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Organized vs Unorganized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37% vs 63%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BORROWER DEMOGRAPHICS</w:t>
      </w:r>
    </w:p>
    <w:p>
      <w:pPr>
        <w:pStyle w:val="Heading2"/>
      </w:pPr>
      <w:r>
        <w:t xml:space="preserve">2.1 Age Distribution</w:t>
      </w:r>
    </w:p>
    <w:p>
      <w:pPr>
        <w:spacing w:after="200"/>
      </w:pPr>
      <w:r>
        <w:t xml:space="preserve">The 31-40 age group dominates gold loan borrowing with 43-44% market share, while the 21-30 age segment shows the fastest growth at 2.2x, indicating increasing adoption among younger borrowers driven by digital lending platforms.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Age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Market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Active Loans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Growth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21-30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15-19%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~9 million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2.2x (Fastest)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31-40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43-44% (Highest)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~21 million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1.6x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41-50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36-38%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~15 million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1.4x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50+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8-12%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~5 million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1.2x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</w:rPr>
        <w:t xml:space="preserve">Key Insight: </w:t>
      </w:r>
      <w:r>
        <w:t xml:space="preserve">Millennials and Gen Z (~40% of market) are driving digital adoption. No children/minors can borrow - minimum age is 18-21 years, and borrower must be the legal owner of gold.</w:t>
      </w:r>
    </w:p>
    <w:p>
      <w:pPr>
        <w:pStyle w:val="Heading2"/>
      </w:pPr>
      <w:r>
        <w:t xml:space="preserve">2.2 Gender Distribution</w:t>
      </w:r>
    </w:p>
    <w:p>
      <w:pPr>
        <w:spacing w:after="200"/>
      </w:pPr>
      <w:r>
        <w:t xml:space="preserve">Women represent 36-38% of gold loan borrowers and have grown +6% since 2019. Women borrowers demonstrate lower default rates (5.2% vs 6.9% for men), making them a preferred segment for lenders.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Gender 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Women's Share in Gold Loans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36-38%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Women from Semi-urban/Rural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70% of women borrowers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Growth Since 2019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+6% increase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Women as Business Borrowers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Women's Delinquency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5.2% (vs 6.9% men)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</w:rPr>
        <w:t xml:space="preserve">Regional Note: </w:t>
      </w:r>
      <w:r>
        <w:t xml:space="preserve">Southern states (Tamil Nadu, Andhra Pradesh, Karnataka) lead in women's credit participation. Children/minors cannot be borrowers - gold loans require adult ownership of the collateral.</w:t>
      </w:r>
    </w:p>
    <w:p>
      <w:r>
        <w:br w:type="page"/>
      </w:r>
    </w:p>
    <w:p>
      <w:pPr>
        <w:pStyle w:val="Heading1"/>
      </w:pPr>
      <w:r>
        <w:t xml:space="preserve">3. GEOGRAPHIC DISTRIBUTION</w:t>
      </w:r>
    </w:p>
    <w:p>
      <w:pPr>
        <w:pStyle w:val="Heading2"/>
      </w:pPr>
      <w:r>
        <w:t xml:space="preserve">3.1 Regional Market Share</w:t>
      </w:r>
    </w:p>
    <w:p>
      <w:pPr>
        <w:spacing w:after="200"/>
      </w:pPr>
      <w:r>
        <w:t xml:space="preserve">South India dominates with 79% market share due to cultural affinity for gold and dense NBFC networks. North and East India represent significant growth opportunities with current low penetration.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Market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States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Characteristics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South India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Kerala, TN, Karnataka, AP, Telangana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Cultural affinity, dense NBFC network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West India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Maharashtra, Gujarat, 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Growing urbanization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North India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UP, Rajasthan, Delhi NCR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High growth potential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East India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WB, Bihar, Odisha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Underpenetrated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Tier 1 vs Tier 2/3 Cities</w:t>
      </w:r>
    </w:p>
    <w:p>
      <w:pPr>
        <w:spacing w:after="200"/>
      </w:pPr>
      <w:r>
        <w:t xml:space="preserve">Semi-urban and rural areas (Tier 2/3) dominate the gold loan market with 77% disbursal share. Rural India holds 65% of the country's gold, making it the primary market for gold loans.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 1 (Urban)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 2/3 (Semi-urban/Rural)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Disbursal Share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Active Loans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Avg Ticket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₹2-5 lakh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₹50K-2 lakh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Gold Holdings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65%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Top Tier 1 Cities by Search Volume: </w:t>
      </w:r>
      <w:r>
        <w:t xml:space="preserve">Bengaluru (106K), Chennai (81K), Mumbai, Hyderabad, Delhi NCR</w:t>
      </w:r>
    </w:p>
    <w:p>
      <w:pPr>
        <w:spacing w:after="200"/>
      </w:pPr>
      <w:r>
        <w:rPr>
          <w:b/>
          <w:bCs/>
        </w:rPr>
        <w:t xml:space="preserve">Key Tier 2 Markets: </w:t>
      </w:r>
      <w:r>
        <w:t xml:space="preserve">Jaipur, Coimbatore, Kochi, Indore, Lucknow, Surat, Nagpur, Bhopal, Patna</w:t>
      </w:r>
    </w:p>
    <w:p>
      <w:pPr>
        <w:pStyle w:val="Heading1"/>
      </w:pPr>
      <w:r>
        <w:t xml:space="preserve">4. USE CASES &amp; BORROWING REASONS</w:t>
      </w:r>
    </w:p>
    <w:p>
      <w:pPr>
        <w:spacing w:after="200"/>
      </w:pPr>
      <w:r>
        <w:t xml:space="preserve">Medical emergencies and business working capital are the top reasons for gold loans, highlighting the product's role as emergency liquidity and MSME financing tool.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Market Share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Trend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Medical Emergencies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25-30%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Business/MSME Working Capital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20-25%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Growing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Agriculture (seed, equipment, irrigation)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15-20%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Seasonal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Education Expenses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10-15%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Growing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Wedding Expenses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8-12%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Seasonal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Home Renovation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5-8%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Debt Consolidation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5-7%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Growing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Other Personal Needs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5-10%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Stable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Why Borrowers Prefer Gold Loans</w:t>
      </w:r>
    </w:p>
    <w:p>
      <w:pPr>
        <w:pStyle w:val="ListParagraph"/>
        <w:numPr>
          <w:ilvl w:val="0"/>
          <w:numId w:val="2"/>
        </w:numPr>
      </w:pPr>
      <w:r>
        <w:t xml:space="preserve">Quick disbursal: 15-30 minutes processing time</w:t>
      </w:r>
    </w:p>
    <w:p>
      <w:pPr>
        <w:pStyle w:val="ListParagraph"/>
        <w:numPr>
          <w:ilvl w:val="0"/>
          <w:numId w:val="2"/>
        </w:numPr>
      </w:pPr>
      <w:r>
        <w:t xml:space="preserve">No credit score required - secured by gold collateral</w:t>
      </w:r>
    </w:p>
    <w:p>
      <w:pPr>
        <w:pStyle w:val="ListParagraph"/>
        <w:numPr>
          <w:ilvl w:val="0"/>
          <w:numId w:val="2"/>
        </w:numPr>
      </w:pPr>
      <w:r>
        <w:t xml:space="preserve">Minimal documentation - just KYC documents needed</w:t>
      </w:r>
    </w:p>
    <w:p>
      <w:pPr>
        <w:pStyle w:val="ListParagraph"/>
        <w:numPr>
          <w:ilvl w:val="0"/>
          <w:numId w:val="2"/>
        </w:numPr>
      </w:pPr>
      <w:r>
        <w:t xml:space="preserve">Lower interest rates compared to personal loans</w:t>
      </w:r>
    </w:p>
    <w:p>
      <w:pPr>
        <w:pStyle w:val="ListParagraph"/>
        <w:numPr>
          <w:ilvl w:val="0"/>
          <w:numId w:val="2"/>
        </w:numPr>
      </w:pPr>
      <w:r>
        <w:t xml:space="preserve">Flexible repayment options with bullet/EMI choices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Asset retention - emotional value of gold preserved</w:t>
      </w:r>
    </w:p>
    <w:p>
      <w:r>
        <w:br w:type="page"/>
      </w:r>
    </w:p>
    <w:p>
      <w:pPr>
        <w:pStyle w:val="Heading1"/>
      </w:pPr>
      <w:r>
        <w:t xml:space="preserve">5. LOAN DURATION &amp; CHARACTERISTICS</w:t>
      </w:r>
    </w:p>
    <w:p>
      <w:pPr>
        <w:spacing w:after="200"/>
      </w:pPr>
      <w:r>
        <w:t xml:space="preserve">Short-term loans (3-12 months) dominate with 70-75% market share, reflecting the emergency liquidity nature of gold loans. RBI's 2025 draft guidelines propose limiting bullet repayment loans to 12 months maximum.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Market Share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Typical 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Short-term (3-12 months)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70-75% (Most Popular)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Emergencies, working capital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Medium-term (12-24 months)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20-25%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Business expansion, education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Long-term (24-36 months)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5-10%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Agriculture, home renovation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</w:rPr>
        <w:t xml:space="preserve">RBI 2025 Draft Guidelines: </w:t>
      </w:r>
      <w:r>
        <w:t xml:space="preserve">Maximum 12 months for bullet repayment, 36 months for EMI-based loans. Weight limit of 1 kg per borrower proposed.</w:t>
      </w:r>
    </w:p>
    <w:p>
      <w:pPr>
        <w:pStyle w:val="Heading1"/>
      </w:pPr>
      <w:r>
        <w:t xml:space="preserve">6. INTEREST RATE ANALYSIS</w:t>
      </w:r>
    </w:p>
    <w:p>
      <w:pPr>
        <w:pStyle w:val="Heading2"/>
      </w:pPr>
      <w:r>
        <w:t xml:space="preserve">6.1 Interest Rates by Lender Type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Lender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Interest Rate (p.a.)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Processing Fee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Public Sector Banks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8.05% - 11%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0% - 0.5%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Private Banks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9% - 14%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0.25% - 1%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NBFCs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10% - 21%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0.5% - 2%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Unorganized Lenders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25% - 36%+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Variable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Statistical Distribution of Interest Rates</w:t>
      </w:r>
    </w:p>
    <w:p>
      <w:pPr>
        <w:spacing w:after="120"/>
      </w:pPr>
      <w:r>
        <w:t xml:space="preserve">Analysis of interest rates across organized lenders reveals the following distribution: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Percentile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Interest Rate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Minimum (Best Rate)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7.0% - 8.05%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25th Percentile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9.0% - 10%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MEDIAN (50th Percentile)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11% - 12%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75th Percentile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14% - 16%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80TH PERCENTILE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16% - 18%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Maximum (NBFCs)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24% - 27%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</w:rPr>
        <w:t xml:space="preserve">Key Finding: </w:t>
      </w:r>
      <w:r>
        <w:t xml:space="preserve">The median interest rate is 11-12% p.a., while 80% of borrowers pay 16-18% or less. Public sector banks offer the most competitive rates at 8-11%, while NBFCs charge premiums for faster processing and convenience.</w:t>
      </w:r>
    </w:p>
    <w:p>
      <w:r>
        <w:br w:type="page"/>
      </w:r>
    </w:p>
    <w:p>
      <w:pPr>
        <w:pStyle w:val="Heading1"/>
      </w:pPr>
      <w:r>
        <w:t xml:space="preserve">7. MAJOR MARKET PLAYERS</w:t>
      </w:r>
    </w:p>
    <w:p>
      <w:pPr>
        <w:pStyle w:val="Heading2"/>
      </w:pPr>
      <w:r>
        <w:t xml:space="preserve">7.1 NBFC Market Share (FY23)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NBFC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Market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Branches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Muthoot Finance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₹1.09 lakh 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4,855+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Manappuram Finance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~₹40,000 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4,000+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IIFL Finance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~₹25,000 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3,000+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Others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Popular Banks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Starting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Notable Feature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SBI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9.05%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₹72,550 cr portfolio, 87% YoY growth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Indian Bank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8.80% (Lowest PSB)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Competitive 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Bank of Baroda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8.70%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Wide network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Canara Bank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9.00%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Strong South presence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HDFC Bank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Digital-first approach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ICICI Bank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Quick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Federal Bank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Strong South India network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CUSTOMER BEHAVIOR: RECURRING VS NEW</w:t>
      </w:r>
    </w:p>
    <w:p>
      <w:pPr>
        <w:spacing w:after="200"/>
      </w:pPr>
      <w:r>
        <w:t xml:space="preserve">Traditional NBFCs enjoy high customer stickiness with ~70% repeat customers, while FinTech platforms attract 60%+ new-to-gold-loan customers, indicating market expansion into previously untapped segments.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Channel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Recurring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New Customers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Traditional NBFCs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~70%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FinTech Platforms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60%+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Banks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55-60%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40-45%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Typical renewals per customer: 2-3 times</w:t>
      </w:r>
    </w:p>
    <w:p>
      <w:pPr>
        <w:pStyle w:val="ListParagraph"/>
        <w:numPr>
          <w:ilvl w:val="0"/>
          <w:numId w:val="2"/>
        </w:numPr>
      </w:pPr>
      <w:r>
        <w:t xml:space="preserve">Muthoot Finance daily servicing: 2+ lakh customers/day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FinTechs expanding market by bringing formal credit to first-time borrowers</w:t>
      </w:r>
    </w:p>
    <w:p>
      <w:pPr>
        <w:pStyle w:val="Heading1"/>
      </w:pPr>
      <w:r>
        <w:t xml:space="preserve">9. NPA &amp; RISK STATISTICS</w:t>
      </w:r>
    </w:p>
    <w:p>
      <w:pPr>
        <w:spacing w:after="200"/>
      </w:pPr>
      <w:r>
        <w:t xml:space="preserve">Gold loans maintain inherently low credit losses due to secured collateral nature. Banks maintain lower NPAs than NBFCs due to stricter LTV monitoring and auction procedures.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NBFCs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GNPA (Mar 2025)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0.22%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2.14%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GNPA (Mar 2023)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1.21%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+0.02%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+0.93%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</w:rPr>
        <w:t xml:space="preserve">Key Risk Factor: </w:t>
      </w:r>
      <w:r>
        <w:t xml:space="preserve">Emotional attachment to gold motivates borrowers to repay, resulting in lower defaults compared to unsecured loans. Overall Q1 FY24 saw 30% increase in NPAs due to rapid gold price fluctuations.</w:t>
      </w:r>
    </w:p>
    <w:p>
      <w:r>
        <w:br w:type="page"/>
      </w:r>
    </w:p>
    <w:p>
      <w:pPr>
        <w:pStyle w:val="Heading1"/>
      </w:pPr>
      <w:r>
        <w:t xml:space="preserve">10. KEY TRENDS &amp; INSIGHTS</w:t>
      </w:r>
    </w:p>
    <w:p>
      <w:pPr>
        <w:pStyle w:val="Heading2"/>
      </w:pPr>
      <w:r>
        <w:t xml:space="preserve">10.1 Growth Drivers</w:t>
      </w:r>
    </w:p>
    <w:p>
      <w:pPr>
        <w:pStyle w:val="ListParagraph"/>
        <w:numPr>
          <w:ilvl w:val="0"/>
          <w:numId w:val="3"/>
        </w:numPr>
      </w:pPr>
      <w:r>
        <w:t xml:space="preserve">Rising gold prices (₹75K-80K/10g) increasing collateral value</w:t>
      </w:r>
    </w:p>
    <w:p>
      <w:pPr>
        <w:pStyle w:val="ListParagraph"/>
        <w:numPr>
          <w:ilvl w:val="0"/>
          <w:numId w:val="3"/>
        </w:numPr>
      </w:pPr>
      <w:r>
        <w:t xml:space="preserve">Shift from unsecured to secured lending (RBI risk weight changes)</w:t>
      </w:r>
    </w:p>
    <w:p>
      <w:pPr>
        <w:pStyle w:val="ListParagraph"/>
        <w:numPr>
          <w:ilvl w:val="0"/>
          <w:numId w:val="3"/>
        </w:numPr>
      </w:pPr>
      <w:r>
        <w:t xml:space="preserve">Digital transformation (doorstep services, mobile apps, eKYC)</w:t>
      </w:r>
    </w:p>
    <w:p>
      <w:pPr>
        <w:pStyle w:val="ListParagraph"/>
        <w:numPr>
          <w:ilvl w:val="0"/>
          <w:numId w:val="3"/>
        </w:numPr>
      </w:pPr>
      <w:r>
        <w:t xml:space="preserve">Financial inclusion (organized replacing unorganized sector)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MSME demand for quick, collateral-based working capital</w:t>
      </w:r>
    </w:p>
    <w:p>
      <w:pPr>
        <w:pStyle w:val="Heading2"/>
      </w:pPr>
      <w:r>
        <w:t xml:space="preserve">10.2 Emerging Trends</w:t>
      </w:r>
    </w:p>
    <w:p>
      <w:pPr>
        <w:pStyle w:val="ListParagraph"/>
        <w:numPr>
          <w:ilvl w:val="0"/>
          <w:numId w:val="2"/>
        </w:numPr>
      </w:pPr>
      <w:r>
        <w:t xml:space="preserve">Phygital model combining physical branches with digital services</w:t>
      </w:r>
    </w:p>
    <w:p>
      <w:pPr>
        <w:pStyle w:val="ListParagraph"/>
        <w:numPr>
          <w:ilvl w:val="0"/>
          <w:numId w:val="2"/>
        </w:numPr>
      </w:pPr>
      <w:r>
        <w:t xml:space="preserve">FinTech aggregators (Rupeek, etc.) disrupting traditional models</w:t>
      </w:r>
    </w:p>
    <w:p>
      <w:pPr>
        <w:pStyle w:val="ListParagraph"/>
        <w:numPr>
          <w:ilvl w:val="0"/>
          <w:numId w:val="2"/>
        </w:numPr>
      </w:pPr>
      <w:r>
        <w:t xml:space="preserve">AI-powered valuation using XRF scanning and automated kiosks</w:t>
      </w:r>
    </w:p>
    <w:p>
      <w:pPr>
        <w:pStyle w:val="ListParagraph"/>
        <w:numPr>
          <w:ilvl w:val="0"/>
          <w:numId w:val="2"/>
        </w:numPr>
      </w:pPr>
      <w:r>
        <w:t xml:space="preserve">Co-lending partnerships between Banks and NBFCs</w:t>
      </w:r>
    </w:p>
    <w:p>
      <w:pPr>
        <w:pStyle w:val="ListParagraph"/>
        <w:numPr>
          <w:ilvl w:val="0"/>
          <w:numId w:val="2"/>
        </w:numPr>
      </w:pPr>
      <w:r>
        <w:t xml:space="preserve">Central gold repositories for storage and security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Loans against SGBs (Sovereign Gold Bonds) and Gold ETFs</w:t>
      </w:r>
    </w:p>
    <w:p>
      <w:pPr>
        <w:pStyle w:val="Heading2"/>
      </w:pPr>
      <w:r>
        <w:t xml:space="preserve">10.3 Regulatory Landscape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Regulation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LTV Cap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75% (85% for loans &lt;₹2 lakh per June 2025)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Cash Disbursal 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₹20,000 maximum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Tenure Cap (Draft 2025)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 months bullet, 36 months EMI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Weight Limit (Proposed)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 kg per borrower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KYC Requirements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Strengthened documentation norms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Data Sources</w:t>
      </w:r>
    </w:p>
    <w:p>
      <w:pPr>
        <w:spacing w:after="80"/>
      </w:pPr>
      <w:r>
        <w:rPr>
          <w:b/>
          <w:bCs/>
        </w:rPr>
        <w:t xml:space="preserve">Primary Sources: </w:t>
      </w:r>
      <w:r>
        <w:t xml:space="preserve">PwC 'Striking Gold' Report (Aug 2024), RBI Financial Stability Reports, CRISIL Ratings, TransUnion CIBIL-NITI Aayog Report (Mar 2025), Ministry of Finance Parliamentary Data, World Gold Council</w:t>
      </w:r>
    </w:p>
    <w:p>
      <w:pPr>
        <w:spacing w:after="80"/>
      </w:pPr>
      <w:r>
        <w:rPr>
          <w:b/>
          <w:bCs/>
        </w:rPr>
        <w:t xml:space="preserve">Company Reports: </w:t>
      </w:r>
      <w:r>
        <w:t xml:space="preserve">Muthoot Finance Annual Reports, Manappuram Finance Investor Presentations, IIFL Finance Disclosures</w:t>
      </w:r>
    </w:p>
    <w:p>
      <w:pPr>
        <w:spacing w:after="80"/>
      </w:pPr>
      <w:r>
        <w:rPr>
          <w:b/>
          <w:bCs/>
        </w:rPr>
        <w:t xml:space="preserve">Market Research: </w:t>
      </w:r>
      <w:r>
        <w:t xml:space="preserve">ICRA, Maximize Market Research, IMARC Group, BankBazaar MoneyMood Report 2025</w:t>
      </w:r>
    </w:p>
    <w:p>
      <w:r>
        <w:rPr>
          <w:b/>
          <w:bCs/>
        </w:rPr>
        <w:t xml:space="preserve">Search Trends: </w:t>
      </w:r>
      <w:r>
        <w:t xml:space="preserve">Techmagnate Gold Loan Search Trends Report 2024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India Gold Loan Market Study 2024-25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2025-12-22T06:53:58.428Z</dcterms:created>
  <dcterms:modified xsi:type="dcterms:W3CDTF">2025-12-22T06:53:58.428Z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