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Digital Transformation in</w:t>
      </w:r>
    </w:p>
    <w:p>
      <w:pPr>
        <w:pStyle w:val="Title"/>
      </w:pPr>
      <w:r>
        <w:t xml:space="preserve">Indian Gold Loan Industry</w:t>
      </w:r>
    </w:p>
    <w:p>
      <w:pPr>
        <w:spacing w:before="400" w:after="400"/>
        <w:jc w:val="center"/>
      </w:pPr>
      <w:r>
        <w:rPr>
          <w:color w:val="666666"/>
          <w:sz w:val="28"/>
          <w:szCs w:val="28"/>
        </w:rPr>
        <w:t xml:space="preserve">Analysis of Digital Initiatives, AI Adoption &amp; Their Outcomes</w:t>
      </w:r>
    </w:p>
    <w:p>
      <w:pPr>
        <w:spacing w:before="200"/>
        <w:jc w:val="center"/>
      </w:pPr>
      <w:r>
        <w:rPr>
          <w:i/>
          <w:iCs/>
          <w:color w:val="888888"/>
          <w:sz w:val="24"/>
          <w:szCs w:val="24"/>
        </w:rPr>
        <w:t xml:space="preserve">Success Stories, Failures &amp; Lessons Learned</w:t>
      </w:r>
    </w:p>
    <w:p>
      <w:pPr>
        <w:spacing w:before="800"/>
        <w:jc w:val="center"/>
      </w:pPr>
      <w:r>
        <w:rPr>
          <w:color w:val="666666"/>
          <w:sz w:val="22"/>
          <w:szCs w:val="22"/>
        </w:rPr>
        <w:t xml:space="preserve">December 2025</w:t>
      </w:r>
    </w:p>
    <w:p>
      <w:r>
        <w:br w:type="page"/>
      </w:r>
    </w:p>
    <w:p>
      <w:pPr>
        <w:pStyle w:val="Heading1"/>
      </w:pPr>
      <w:r>
        <w:t xml:space="preserve">1. Executive Summary</w:t>
      </w:r>
    </w:p>
    <w:p>
      <w:pPr>
        <w:spacing w:after="200"/>
      </w:pPr>
      <w:r>
        <w:t xml:space="preserve">The Indian gold loan industry, valued at ₹7.1 lakh crore (FY24) and projected to reach ₹14.19 lakh crore by 2028, has witnessed significant digital transformation over the past decade. This report analyzes the digital initiatives undertaken by NBFCs, banks, and fintechs, examining their AI adoption strategies and evaluating the successes, failures, and lessons learned from digitization efforts.</w:t>
      </w:r>
    </w:p>
    <w:p>
      <w:pPr>
        <w:pStyle w:val="Heading2"/>
      </w:pPr>
      <w:r>
        <w:t xml:space="preserve">Key Findings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Success Metrics</w:t>
            </w:r>
          </w:p>
        </w:tc>
        <w:tc>
          <w:tcPr>
            <w:tcW w:type="dxa" w:w="450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Challenge Areas</w:t>
            </w:r>
          </w:p>
        </w:tc>
      </w:tr>
      <w:tr>
        <w:tc>
          <w:tcPr>
            <w:tcW w:type="dxa" w:w="4500"/>
            <w:tcBorders>
              <w:top w:val="single" w:color="CCCCCC" w:sz="1"/>
              <w:left w:val="single" w:color="CCCCCC" w:sz="1"/>
              <w:bottom w:val="single" w:color="CCCCCC" w:sz="1"/>
              <w:right w:val="single" w:color="CCCCCC" w:sz="1"/>
            </w:tcBorders>
          </w:tcPr>
          <w:p>
            <w:pPr>
              <w:pStyle w:val="ListParagraph"/>
              <w:numPr>
                <w:ilvl w:val="0"/>
                <w:numId w:val="2"/>
              </w:numPr>
            </w:pPr>
            <w:r>
              <w:t xml:space="preserve">75% digital customer acquisition (Muthoot)</w:t>
            </w:r>
          </w:p>
          <w:p>
            <w:pPr>
              <w:pStyle w:val="ListParagraph"/>
              <w:numPr>
                <w:ilvl w:val="0"/>
                <w:numId w:val="2"/>
              </w:numPr>
            </w:pPr>
            <w:r>
              <w:t xml:space="preserve">54% digital collections (Manappuram)</w:t>
            </w:r>
          </w:p>
          <w:p>
            <w:pPr>
              <w:pStyle w:val="ListParagraph"/>
              <w:numPr>
                <w:ilvl w:val="0"/>
                <w:numId w:val="2"/>
              </w:numPr>
            </w:pPr>
            <w:r>
              <w:t xml:space="preserve">68% reduction in branch footfall (IIFL)</w:t>
            </w:r>
          </w:p>
          <w:p>
            <w:pPr>
              <w:pStyle w:val="ListParagraph"/>
              <w:numPr>
                <w:ilvl w:val="0"/>
                <w:numId w:val="2"/>
              </w:numPr>
            </w:pPr>
            <w:r>
              <w:t xml:space="preserve">40% reduction in gold testing time (AI/XRF)</w:t>
            </w:r>
          </w:p>
          <w:p>
            <w:pPr>
              <w:pStyle w:val="ListParagraph"/>
              <w:numPr>
                <w:ilvl w:val="0"/>
                <w:numId w:val="2"/>
              </w:numPr>
            </w:pPr>
            <w:r>
              <w:t xml:space="preserve">53% YoY growth in SBI gold loans (FY25)</w:t>
            </w:r>
          </w:p>
        </w:tc>
        <w:tc>
          <w:tcPr>
            <w:tcW w:type="dxa" w:w="4500"/>
            <w:tcBorders>
              <w:top w:val="single" w:color="CCCCCC" w:sz="1"/>
              <w:left w:val="single" w:color="CCCCCC" w:sz="1"/>
              <w:bottom w:val="single" w:color="CCCCCC" w:sz="1"/>
              <w:right w:val="single" w:color="CCCCCC" w:sz="1"/>
            </w:tcBorders>
          </w:tcPr>
          <w:p>
            <w:pPr>
              <w:pStyle w:val="ListParagraph"/>
              <w:numPr>
                <w:ilvl w:val="0"/>
                <w:numId w:val="2"/>
              </w:numPr>
            </w:pPr>
            <w:r>
              <w:t xml:space="preserve">Rupeek: 60% valuation drop ($634M→$250M)</w:t>
            </w:r>
          </w:p>
          <w:p>
            <w:pPr>
              <w:pStyle w:val="ListParagraph"/>
              <w:numPr>
                <w:ilvl w:val="0"/>
                <w:numId w:val="2"/>
              </w:numPr>
            </w:pPr>
            <w:r>
              <w:t xml:space="preserve">Multiple layoff rounds at fintechs</w:t>
            </w:r>
          </w:p>
          <w:p>
            <w:pPr>
              <w:pStyle w:val="ListParagraph"/>
              <w:numPr>
                <w:ilvl w:val="0"/>
                <w:numId w:val="2"/>
              </w:numPr>
            </w:pPr>
            <w:r>
              <w:t xml:space="preserve">Unit economics challenges persist</w:t>
            </w:r>
          </w:p>
          <w:p>
            <w:pPr>
              <w:pStyle w:val="ListParagraph"/>
              <w:numPr>
                <w:ilvl w:val="0"/>
                <w:numId w:val="2"/>
              </w:numPr>
            </w:pPr>
            <w:r>
              <w:t xml:space="preserve">Physical gold handling remains bottleneck</w:t>
            </w:r>
          </w:p>
          <w:p>
            <w:pPr>
              <w:pStyle w:val="ListParagraph"/>
              <w:numPr>
                <w:ilvl w:val="0"/>
                <w:numId w:val="2"/>
              </w:numPr>
            </w:pPr>
            <w:r>
              <w:t xml:space="preserve">RBI compliance complexity increased</w:t>
            </w:r>
          </w:p>
        </w:tc>
      </w:tr>
    </w:tbl>
    <w:p>
      <w:r>
        <w:br w:type="page"/>
      </w:r>
    </w:p>
    <w:p>
      <w:pPr>
        <w:pStyle w:val="Heading1"/>
      </w:pPr>
      <w:r>
        <w:t xml:space="preserve">2. Digital Initiatives: Comprehensive Analysis</w:t>
      </w:r>
    </w:p>
    <w:p>
      <w:pPr>
        <w:spacing w:after="200"/>
      </w:pPr>
      <w:r>
        <w:t xml:space="preserve">The digital transformation in India's gold loan industry can be categorized into four distinct waves, each bringing different technologies and business model innovations.</w:t>
      </w:r>
    </w:p>
    <w:p>
      <w:pPr>
        <w:pStyle w:val="Heading2"/>
      </w:pPr>
      <w:r>
        <w:t xml:space="preserve">2.1 Evolution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rPr>
          <w:tblHeader/>
        </w:trPr>
        <w:tc>
          <w:tcPr>
            <w:tcW w:type="dxa" w:w="18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Wave</w:t>
            </w:r>
          </w:p>
        </w:tc>
        <w:tc>
          <w:tcPr>
            <w:tcW w:type="dxa" w:w="24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Period</w:t>
            </w:r>
          </w:p>
        </w:tc>
        <w:tc>
          <w:tcPr>
            <w:tcW w:type="dxa" w:w="24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Key Technologies</w:t>
            </w:r>
          </w:p>
        </w:tc>
        <w:tc>
          <w:tcPr>
            <w:tcW w:type="dxa" w:w="24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Key Players</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Wave 1: Foundation</w:t>
            </w:r>
          </w:p>
        </w:tc>
        <w:tc>
          <w:tcPr>
            <w:tcW w:type="dxa" w:w="2400"/>
            <w:tcBorders>
              <w:top w:val="single" w:color="CCCCCC" w:sz="1"/>
              <w:left w:val="single" w:color="CCCCCC" w:sz="1"/>
              <w:bottom w:val="single" w:color="CCCCCC" w:sz="1"/>
              <w:right w:val="single" w:color="CCCCCC" w:sz="1"/>
            </w:tcBorders>
          </w:tcPr>
          <w:p>
            <w:r>
              <w:rPr>
                <w:sz w:val="20"/>
                <w:szCs w:val="20"/>
              </w:rPr>
              <w:t xml:space="preserve">2010-2015</w:t>
            </w:r>
          </w:p>
        </w:tc>
        <w:tc>
          <w:tcPr>
            <w:tcW w:type="dxa" w:w="2400"/>
            <w:tcBorders>
              <w:top w:val="single" w:color="CCCCCC" w:sz="1"/>
              <w:left w:val="single" w:color="CCCCCC" w:sz="1"/>
              <w:bottom w:val="single" w:color="CCCCCC" w:sz="1"/>
              <w:right w:val="single" w:color="CCCCCC" w:sz="1"/>
            </w:tcBorders>
          </w:tcPr>
          <w:p>
            <w:r>
              <w:rPr>
                <w:sz w:val="20"/>
                <w:szCs w:val="20"/>
              </w:rPr>
              <w:t xml:space="preserve">Core Banking, Basic Apps, SMS Alerts</w:t>
            </w:r>
          </w:p>
        </w:tc>
        <w:tc>
          <w:tcPr>
            <w:tcW w:type="dxa" w:w="2400"/>
            <w:tcBorders>
              <w:top w:val="single" w:color="CCCCCC" w:sz="1"/>
              <w:left w:val="single" w:color="CCCCCC" w:sz="1"/>
              <w:bottom w:val="single" w:color="CCCCCC" w:sz="1"/>
              <w:right w:val="single" w:color="CCCCCC" w:sz="1"/>
            </w:tcBorders>
          </w:tcPr>
          <w:p>
            <w:r>
              <w:rPr>
                <w:sz w:val="20"/>
                <w:szCs w:val="20"/>
              </w:rPr>
              <w:t xml:space="preserve">Muthoot, Manappuram</w:t>
            </w:r>
          </w:p>
        </w:tc>
      </w:tr>
      <w:tr>
        <w:tc>
          <w:tcPr>
            <w:tcW w:type="dxa" w:w="1800"/>
            <w:tcBorders>
              <w:top w:val="single" w:color="CCCCCC" w:sz="1"/>
              <w:left w:val="single" w:color="CCCCCC" w:sz="1"/>
              <w:bottom w:val="single" w:color="CCCCCC" w:sz="1"/>
              <w:right w:val="single" w:color="CCCCCC" w:sz="1"/>
            </w:tcBorders>
            <w:shd w:fill="E8F4FD" w:val="clear"/>
          </w:tcPr>
          <w:p>
            <w:r>
              <w:rPr>
                <w:b/>
                <w:bCs/>
                <w:sz w:val="20"/>
                <w:szCs w:val="20"/>
              </w:rPr>
              <w:t xml:space="preserve">Wave 2: Digital-First</w:t>
            </w:r>
          </w:p>
        </w:tc>
        <w:tc>
          <w:tcPr>
            <w:tcW w:type="dxa" w:w="2400"/>
            <w:tcBorders>
              <w:top w:val="single" w:color="CCCCCC" w:sz="1"/>
              <w:left w:val="single" w:color="CCCCCC" w:sz="1"/>
              <w:bottom w:val="single" w:color="CCCCCC" w:sz="1"/>
              <w:right w:val="single" w:color="CCCCCC" w:sz="1"/>
            </w:tcBorders>
            <w:shd w:fill="E8F4FD" w:val="clear"/>
          </w:tcPr>
          <w:p>
            <w:r>
              <w:rPr>
                <w:sz w:val="20"/>
                <w:szCs w:val="20"/>
              </w:rPr>
              <w:t xml:space="preserve">2015-2020</w:t>
            </w:r>
          </w:p>
        </w:tc>
        <w:tc>
          <w:tcPr>
            <w:tcW w:type="dxa" w:w="2400"/>
            <w:tcBorders>
              <w:top w:val="single" w:color="CCCCCC" w:sz="1"/>
              <w:left w:val="single" w:color="CCCCCC" w:sz="1"/>
              <w:bottom w:val="single" w:color="CCCCCC" w:sz="1"/>
              <w:right w:val="single" w:color="CCCCCC" w:sz="1"/>
            </w:tcBorders>
            <w:shd w:fill="E8F4FD" w:val="clear"/>
          </w:tcPr>
          <w:p>
            <w:r>
              <w:rPr>
                <w:sz w:val="20"/>
                <w:szCs w:val="20"/>
              </w:rPr>
              <w:t xml:space="preserve">Online Gold Loan (OGL), Doorstep Service, eKYC</w:t>
            </w:r>
          </w:p>
        </w:tc>
        <w:tc>
          <w:tcPr>
            <w:tcW w:type="dxa" w:w="2400"/>
            <w:tcBorders>
              <w:top w:val="single" w:color="CCCCCC" w:sz="1"/>
              <w:left w:val="single" w:color="CCCCCC" w:sz="1"/>
              <w:bottom w:val="single" w:color="CCCCCC" w:sz="1"/>
              <w:right w:val="single" w:color="CCCCCC" w:sz="1"/>
            </w:tcBorders>
            <w:shd w:fill="E8F4FD" w:val="clear"/>
          </w:tcPr>
          <w:p>
            <w:r>
              <w:rPr>
                <w:sz w:val="20"/>
                <w:szCs w:val="20"/>
              </w:rPr>
              <w:t xml:space="preserve">Rupeek, Manappuram OGL</w:t>
            </w:r>
          </w:p>
        </w:tc>
      </w:tr>
      <w:tr>
        <w:tc>
          <w:tcPr>
            <w:tcW w:type="dxa" w:w="1800"/>
            <w:tcBorders>
              <w:top w:val="single" w:color="CCCCCC" w:sz="1"/>
              <w:left w:val="single" w:color="CCCCCC" w:sz="1"/>
              <w:bottom w:val="single" w:color="CCCCCC" w:sz="1"/>
              <w:right w:val="single" w:color="CCCCCC" w:sz="1"/>
            </w:tcBorders>
          </w:tcPr>
          <w:p>
            <w:r>
              <w:rPr>
                <w:b/>
                <w:bCs/>
                <w:sz w:val="20"/>
                <w:szCs w:val="20"/>
              </w:rPr>
              <w:t xml:space="preserve">Wave 3: Phygital</w:t>
            </w:r>
          </w:p>
        </w:tc>
        <w:tc>
          <w:tcPr>
            <w:tcW w:type="dxa" w:w="2400"/>
            <w:tcBorders>
              <w:top w:val="single" w:color="CCCCCC" w:sz="1"/>
              <w:left w:val="single" w:color="CCCCCC" w:sz="1"/>
              <w:bottom w:val="single" w:color="CCCCCC" w:sz="1"/>
              <w:right w:val="single" w:color="CCCCCC" w:sz="1"/>
            </w:tcBorders>
          </w:tcPr>
          <w:p>
            <w:r>
              <w:rPr>
                <w:sz w:val="20"/>
                <w:szCs w:val="20"/>
              </w:rPr>
              <w:t xml:space="preserve">2020-2023</w:t>
            </w:r>
          </w:p>
        </w:tc>
        <w:tc>
          <w:tcPr>
            <w:tcW w:type="dxa" w:w="2400"/>
            <w:tcBorders>
              <w:top w:val="single" w:color="CCCCCC" w:sz="1"/>
              <w:left w:val="single" w:color="CCCCCC" w:sz="1"/>
              <w:bottom w:val="single" w:color="CCCCCC" w:sz="1"/>
              <w:right w:val="single" w:color="CCCCCC" w:sz="1"/>
            </w:tcBorders>
          </w:tcPr>
          <w:p>
            <w:r>
              <w:rPr>
                <w:sz w:val="20"/>
                <w:szCs w:val="20"/>
              </w:rPr>
              <w:t xml:space="preserve">Super Apps, UPI Integration, Co-lending, XRF Tech</w:t>
            </w:r>
          </w:p>
        </w:tc>
        <w:tc>
          <w:tcPr>
            <w:tcW w:type="dxa" w:w="2400"/>
            <w:tcBorders>
              <w:top w:val="single" w:color="CCCCCC" w:sz="1"/>
              <w:left w:val="single" w:color="CCCCCC" w:sz="1"/>
              <w:bottom w:val="single" w:color="CCCCCC" w:sz="1"/>
              <w:right w:val="single" w:color="CCCCCC" w:sz="1"/>
            </w:tcBorders>
          </w:tcPr>
          <w:p>
            <w:r>
              <w:rPr>
                <w:sz w:val="20"/>
                <w:szCs w:val="20"/>
              </w:rPr>
              <w:t xml:space="preserve">IIFL, SBI YONO, HDFC</w:t>
            </w:r>
          </w:p>
        </w:tc>
      </w:tr>
      <w:tr>
        <w:tc>
          <w:tcPr>
            <w:tcW w:type="dxa" w:w="1800"/>
            <w:tcBorders>
              <w:top w:val="single" w:color="CCCCCC" w:sz="1"/>
              <w:left w:val="single" w:color="CCCCCC" w:sz="1"/>
              <w:bottom w:val="single" w:color="CCCCCC" w:sz="1"/>
              <w:right w:val="single" w:color="CCCCCC" w:sz="1"/>
            </w:tcBorders>
            <w:shd w:fill="E8F4FD" w:val="clear"/>
          </w:tcPr>
          <w:p>
            <w:r>
              <w:rPr>
                <w:b/>
                <w:bCs/>
                <w:sz w:val="20"/>
                <w:szCs w:val="20"/>
              </w:rPr>
              <w:t xml:space="preserve">Wave 4: AI-Driven</w:t>
            </w:r>
          </w:p>
        </w:tc>
        <w:tc>
          <w:tcPr>
            <w:tcW w:type="dxa" w:w="2400"/>
            <w:tcBorders>
              <w:top w:val="single" w:color="CCCCCC" w:sz="1"/>
              <w:left w:val="single" w:color="CCCCCC" w:sz="1"/>
              <w:bottom w:val="single" w:color="CCCCCC" w:sz="1"/>
              <w:right w:val="single" w:color="CCCCCC" w:sz="1"/>
            </w:tcBorders>
            <w:shd w:fill="E8F4FD" w:val="clear"/>
          </w:tcPr>
          <w:p>
            <w:r>
              <w:rPr>
                <w:sz w:val="20"/>
                <w:szCs w:val="20"/>
              </w:rPr>
              <w:t xml:space="preserve">2023-Present</w:t>
            </w:r>
          </w:p>
        </w:tc>
        <w:tc>
          <w:tcPr>
            <w:tcW w:type="dxa" w:w="2400"/>
            <w:tcBorders>
              <w:top w:val="single" w:color="CCCCCC" w:sz="1"/>
              <w:left w:val="single" w:color="CCCCCC" w:sz="1"/>
              <w:bottom w:val="single" w:color="CCCCCC" w:sz="1"/>
              <w:right w:val="single" w:color="CCCCCC" w:sz="1"/>
            </w:tcBorders>
            <w:shd w:fill="E8F4FD" w:val="clear"/>
          </w:tcPr>
          <w:p>
            <w:r>
              <w:rPr>
                <w:sz w:val="20"/>
                <w:szCs w:val="20"/>
              </w:rPr>
              <w:t xml:space="preserve">AI Valuation, ML Fraud Detection, QR-Based Lending, Chatbots</w:t>
            </w:r>
          </w:p>
        </w:tc>
        <w:tc>
          <w:tcPr>
            <w:tcW w:type="dxa" w:w="2400"/>
            <w:tcBorders>
              <w:top w:val="single" w:color="CCCCCC" w:sz="1"/>
              <w:left w:val="single" w:color="CCCCCC" w:sz="1"/>
              <w:bottom w:val="single" w:color="CCCCCC" w:sz="1"/>
              <w:right w:val="single" w:color="CCCCCC" w:sz="1"/>
            </w:tcBorders>
            <w:shd w:fill="E8F4FD" w:val="clear"/>
          </w:tcPr>
          <w:p>
            <w:r>
              <w:rPr>
                <w:sz w:val="20"/>
                <w:szCs w:val="20"/>
              </w:rPr>
              <w:t xml:space="preserve">Muthoot, All Major Players</w:t>
            </w:r>
          </w:p>
        </w:tc>
      </w:tr>
    </w:tbl>
    <w:p>
      <w:r>
        <w:br w:type="page"/>
      </w:r>
    </w:p>
    <w:p>
      <w:pPr>
        <w:pStyle w:val="Heading1"/>
      </w:pPr>
      <w:r>
        <w:t xml:space="preserve">3. Success Stories: What Worked</w:t>
      </w:r>
    </w:p>
    <w:p>
      <w:pPr>
        <w:pStyle w:val="Heading2"/>
      </w:pPr>
      <w:r>
        <w:t xml:space="preserve">3.1 Muthoot Finance: Phygital Excellence</w:t>
      </w:r>
    </w:p>
    <w:p>
      <w:pPr>
        <w:spacing w:after="100"/>
      </w:pPr>
      <w:r>
        <w:rPr>
          <w:b/>
          <w:bCs/>
          <w:color w:val="28A745"/>
        </w:rPr>
        <w:t xml:space="preserve">Outcome: SUCCESS</w:t>
      </w:r>
    </w:p>
    <w:p>
      <w:pPr>
        <w:spacing w:after="200"/>
      </w:pPr>
      <w:r>
        <w:t xml:space="preserve">Muthoot Finance exemplifies successful digital transformation through a 'phygital' model that combines physical branch presence with digital capabilities, resulting in sustained growth and market leadership.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D4EDDA" w:val="clear"/>
          </w:tcPr>
          <w:p>
            <w:r>
              <w:rPr>
                <w:b/>
                <w:bCs/>
                <w:sz w:val="20"/>
                <w:szCs w:val="20"/>
              </w:rPr>
              <w:t xml:space="preserve">Initiative</w:t>
            </w:r>
          </w:p>
        </w:tc>
        <w:tc>
          <w:tcPr>
            <w:tcW w:type="dxa" w:w="6000"/>
            <w:tcBorders>
              <w:top w:val="single" w:color="CCCCCC" w:sz="1"/>
              <w:left w:val="single" w:color="CCCCCC" w:sz="1"/>
              <w:bottom w:val="single" w:color="CCCCCC" w:sz="1"/>
              <w:right w:val="single" w:color="CCCCCC" w:sz="1"/>
            </w:tcBorders>
            <w:shd w:fill="D4EDDA" w:val="clear"/>
          </w:tcPr>
          <w:p>
            <w:r>
              <w:rPr>
                <w:b/>
                <w:bCs/>
                <w:sz w:val="20"/>
                <w:szCs w:val="20"/>
              </w:rPr>
              <w:t xml:space="preserve">Results &amp; Impact</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Digital Customer Acquisition</w:t>
            </w:r>
          </w:p>
        </w:tc>
        <w:tc>
          <w:tcPr>
            <w:tcW w:type="dxa" w:w="6000"/>
            <w:tcBorders>
              <w:top w:val="single" w:color="CCCCCC" w:sz="1"/>
              <w:left w:val="single" w:color="CCCCCC" w:sz="1"/>
              <w:bottom w:val="single" w:color="CCCCCC" w:sz="1"/>
              <w:right w:val="single" w:color="CCCCCC" w:sz="1"/>
            </w:tcBorders>
          </w:tcPr>
          <w:p>
            <w:r>
              <w:rPr>
                <w:sz w:val="20"/>
                <w:szCs w:val="20"/>
              </w:rPr>
              <w:t xml:space="preserve">75% of new customers acquired through digital channels; ₹5 billion investment in digital expansion</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iMuthoot App</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One-stop financial platform; 4% of total collections digitized; swift &amp; secure payments</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QR-Code MSME Lending</w:t>
            </w:r>
          </w:p>
        </w:tc>
        <w:tc>
          <w:tcPr>
            <w:tcW w:type="dxa" w:w="6000"/>
            <w:tcBorders>
              <w:top w:val="single" w:color="CCCCCC" w:sz="1"/>
              <w:left w:val="single" w:color="CCCCCC" w:sz="1"/>
              <w:bottom w:val="single" w:color="CCCCCC" w:sz="1"/>
              <w:right w:val="single" w:color="CCCCCC" w:sz="1"/>
            </w:tcBorders>
          </w:tcPr>
          <w:p>
            <w:r>
              <w:rPr>
                <w:sz w:val="20"/>
                <w:szCs w:val="20"/>
              </w:rPr>
              <w:t xml:space="preserve">Dec 2024 launch targeting 60M informal micro enterprises; digital footprint-based credit assessment</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Financial Performance</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FY25: 23.3% YoY PAT growth; AUM ₹90,197 cr (31% YoY); Gold loan portfolio +28%; 99.3% repayment rates</w:t>
            </w:r>
          </w:p>
        </w:tc>
      </w:tr>
    </w:tbl>
    <w:p>
      <w:pPr>
        <w:spacing w:before="200" w:after="200"/>
      </w:pPr>
      <w:r>
        <w:rPr>
          <w:b/>
          <w:bCs/>
        </w:rPr>
        <w:t xml:space="preserve">Why It Worked: </w:t>
      </w:r>
      <w:r>
        <w:t xml:space="preserve">Muthoot's success stems from not abandoning physical infrastructure while layering digital capabilities. With 4,855+ branches and 2+ lakh customers/day, they maintained trust-based relationships while enabling digital convenience for tech-savvy segments.</w:t>
      </w:r>
    </w:p>
    <w:p>
      <w:pPr>
        <w:pStyle w:val="Heading2"/>
      </w:pPr>
      <w:r>
        <w:t xml:space="preserve">3.2 Manappuram Finance: Online Gold Loan Pioneer</w:t>
      </w:r>
    </w:p>
    <w:p>
      <w:pPr>
        <w:spacing w:after="100"/>
      </w:pPr>
      <w:r>
        <w:rPr>
          <w:b/>
          <w:bCs/>
          <w:color w:val="28A745"/>
        </w:rPr>
        <w:t xml:space="preserve">Outcome: SUCCESS</w:t>
      </w:r>
    </w:p>
    <w:p>
      <w:pPr>
        <w:spacing w:after="200"/>
      </w:pPr>
      <w:r>
        <w:t xml:space="preserve">Manappuram was the first in India to introduce Online Gold Loan (OGL) in 2015, a product that gained significant traction post-pandemic.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D4EDDA" w:val="clear"/>
          </w:tcPr>
          <w:p>
            <w:r>
              <w:rPr>
                <w:b/>
                <w:bCs/>
                <w:sz w:val="20"/>
                <w:szCs w:val="20"/>
              </w:rPr>
              <w:t xml:space="preserve">Initiative</w:t>
            </w:r>
          </w:p>
        </w:tc>
        <w:tc>
          <w:tcPr>
            <w:tcW w:type="dxa" w:w="6000"/>
            <w:tcBorders>
              <w:top w:val="single" w:color="CCCCCC" w:sz="1"/>
              <w:left w:val="single" w:color="CCCCCC" w:sz="1"/>
              <w:bottom w:val="single" w:color="CCCCCC" w:sz="1"/>
              <w:right w:val="single" w:color="CCCCCC" w:sz="1"/>
            </w:tcBorders>
            <w:shd w:fill="D4EDDA" w:val="clear"/>
          </w:tcPr>
          <w:p>
            <w:r>
              <w:rPr>
                <w:b/>
                <w:bCs/>
                <w:sz w:val="20"/>
                <w:szCs w:val="20"/>
              </w:rPr>
              <w:t xml:space="preserve">Results &amp; Impact</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Online Gold Loan (OGL)</w:t>
            </w:r>
          </w:p>
        </w:tc>
        <w:tc>
          <w:tcPr>
            <w:tcW w:type="dxa" w:w="6000"/>
            <w:tcBorders>
              <w:top w:val="single" w:color="CCCCCC" w:sz="1"/>
              <w:left w:val="single" w:color="CCCCCC" w:sz="1"/>
              <w:bottom w:val="single" w:color="CCCCCC" w:sz="1"/>
              <w:right w:val="single" w:color="CCCCCC" w:sz="1"/>
            </w:tcBorders>
          </w:tcPr>
          <w:p>
            <w:r>
              <w:rPr>
                <w:sz w:val="20"/>
                <w:szCs w:val="20"/>
              </w:rPr>
              <w:t xml:space="preserve">India's first digital gold loan product; 24x7 loan withdrawal via app; credit limit up to 75% LTV</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Digital Collections</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54% digital collections in FY21 (up from 35% in FY20) - 19 percentage point improvement in one year</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MADU Learning System</w:t>
            </w:r>
          </w:p>
        </w:tc>
        <w:tc>
          <w:tcPr>
            <w:tcW w:type="dxa" w:w="6000"/>
            <w:tcBorders>
              <w:top w:val="single" w:color="CCCCCC" w:sz="1"/>
              <w:left w:val="single" w:color="CCCCCC" w:sz="1"/>
              <w:bottom w:val="single" w:color="CCCCCC" w:sz="1"/>
              <w:right w:val="single" w:color="CCCCCC" w:sz="1"/>
            </w:tcBorders>
          </w:tcPr>
          <w:p>
            <w:r>
              <w:rPr>
                <w:sz w:val="20"/>
                <w:szCs w:val="20"/>
              </w:rPr>
              <w:t xml:space="preserve">5,034 eLearning courses; 1,300+ hours content; 49,890 active users across 11 entities</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Paperless Operations</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Complete digitization of head office operations; reduced file movement time by hours</w:t>
            </w:r>
          </w:p>
        </w:tc>
      </w:tr>
    </w:tbl>
    <w:p>
      <w:pPr>
        <w:spacing w:before="200" w:after="200"/>
      </w:pPr>
      <w:r>
        <w:rPr>
          <w:b/>
          <w:bCs/>
        </w:rPr>
        <w:t xml:space="preserve">Why It Worked: </w:t>
      </w:r>
      <w:r>
        <w:t xml:space="preserve">Manappuram's OGL leveraged existing branch infrastructure for gold storage while enabling remote fund access. The product addressed a genuine customer need - accessing liquidity without physical branch visits - which became critical during COVID-19.</w:t>
      </w:r>
    </w:p>
    <w:p>
      <w:pPr>
        <w:pStyle w:val="Heading2"/>
      </w:pPr>
      <w:r>
        <w:t xml:space="preserve">3.3 IIFL Finance: App-Driven Transformation</w:t>
      </w:r>
    </w:p>
    <w:p>
      <w:pPr>
        <w:spacing w:after="100"/>
      </w:pPr>
      <w:r>
        <w:rPr>
          <w:b/>
          <w:bCs/>
          <w:color w:val="28A745"/>
        </w:rPr>
        <w:t xml:space="preserve">Outcome: SUCCESS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D4EDDA" w:val="clear"/>
          </w:tcPr>
          <w:p>
            <w:r>
              <w:rPr>
                <w:b/>
                <w:bCs/>
                <w:sz w:val="20"/>
                <w:szCs w:val="20"/>
              </w:rPr>
              <w:t xml:space="preserve">Initiative</w:t>
            </w:r>
          </w:p>
        </w:tc>
        <w:tc>
          <w:tcPr>
            <w:tcW w:type="dxa" w:w="6000"/>
            <w:tcBorders>
              <w:top w:val="single" w:color="CCCCCC" w:sz="1"/>
              <w:left w:val="single" w:color="CCCCCC" w:sz="1"/>
              <w:bottom w:val="single" w:color="CCCCCC" w:sz="1"/>
              <w:right w:val="single" w:color="CCCCCC" w:sz="1"/>
            </w:tcBorders>
            <w:shd w:fill="D4EDDA" w:val="clear"/>
          </w:tcPr>
          <w:p>
            <w:r>
              <w:rPr>
                <w:b/>
                <w:bCs/>
                <w:sz w:val="20"/>
                <w:szCs w:val="20"/>
              </w:rPr>
              <w:t xml:space="preserve">Results &amp; Impact</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AI-Powered Mobile App</w:t>
            </w:r>
          </w:p>
        </w:tc>
        <w:tc>
          <w:tcPr>
            <w:tcW w:type="dxa" w:w="6000"/>
            <w:tcBorders>
              <w:top w:val="single" w:color="CCCCCC" w:sz="1"/>
              <w:left w:val="single" w:color="CCCCCC" w:sz="1"/>
              <w:bottom w:val="single" w:color="CCCCCC" w:sz="1"/>
              <w:right w:val="single" w:color="CCCCCC" w:sz="1"/>
            </w:tcBorders>
          </w:tcPr>
          <w:p>
            <w:r>
              <w:rPr>
                <w:sz w:val="20"/>
                <w:szCs w:val="20"/>
              </w:rPr>
              <w:t xml:space="preserve">80 Lakh+ active users; redesigned customer journey during COVID-19</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Branch Footfall Reduction</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68% reduction in branch footfall; customers manage loans, payments, statements via app</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Support Ticket Reduction</w:t>
            </w:r>
          </w:p>
        </w:tc>
        <w:tc>
          <w:tcPr>
            <w:tcW w:type="dxa" w:w="6000"/>
            <w:tcBorders>
              <w:top w:val="single" w:color="CCCCCC" w:sz="1"/>
              <w:left w:val="single" w:color="CCCCCC" w:sz="1"/>
              <w:bottom w:val="single" w:color="CCCCCC" w:sz="1"/>
              <w:right w:val="single" w:color="CCCCCC" w:sz="1"/>
            </w:tcBorders>
          </w:tcPr>
          <w:p>
            <w:r>
              <w:rPr>
                <w:sz w:val="20"/>
                <w:szCs w:val="20"/>
              </w:rPr>
              <w:t xml:space="preserve">39% fewer support tickets; improved self-service capabilities</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Cross-sell/Upsell</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Increased time-on-app boosted cross-sell and upsell activities; 12-language support</w:t>
            </w:r>
          </w:p>
        </w:tc>
      </w:tr>
    </w:tbl>
    <w:p>
      <w:pPr>
        <w:pStyle w:val="Heading2"/>
      </w:pPr>
      <w:r>
        <w:t xml:space="preserve">3.4 SBI YONO: Bank Digital Success</w:t>
      </w:r>
    </w:p>
    <w:p>
      <w:pPr>
        <w:spacing w:after="100"/>
      </w:pPr>
      <w:r>
        <w:rPr>
          <w:b/>
          <w:bCs/>
          <w:color w:val="28A745"/>
        </w:rPr>
        <w:t xml:space="preserve">Outcome: SUCCESS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D4EDDA" w:val="clear"/>
          </w:tcPr>
          <w:p>
            <w:r>
              <w:rPr>
                <w:b/>
                <w:bCs/>
                <w:sz w:val="20"/>
                <w:szCs w:val="20"/>
              </w:rPr>
              <w:t xml:space="preserve">Initiative</w:t>
            </w:r>
          </w:p>
        </w:tc>
        <w:tc>
          <w:tcPr>
            <w:tcW w:type="dxa" w:w="6000"/>
            <w:tcBorders>
              <w:top w:val="single" w:color="CCCCCC" w:sz="1"/>
              <w:left w:val="single" w:color="CCCCCC" w:sz="1"/>
              <w:bottom w:val="single" w:color="CCCCCC" w:sz="1"/>
              <w:right w:val="single" w:color="CCCCCC" w:sz="1"/>
            </w:tcBorders>
            <w:shd w:fill="D4EDDA" w:val="clear"/>
          </w:tcPr>
          <w:p>
            <w:r>
              <w:rPr>
                <w:b/>
                <w:bCs/>
                <w:sz w:val="20"/>
                <w:szCs w:val="20"/>
              </w:rPr>
              <w:t xml:space="preserve">Results &amp; Impact</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YONO Gold Loan</w:t>
            </w:r>
          </w:p>
        </w:tc>
        <w:tc>
          <w:tcPr>
            <w:tcW w:type="dxa" w:w="6000"/>
            <w:tcBorders>
              <w:top w:val="single" w:color="CCCCCC" w:sz="1"/>
              <w:left w:val="single" w:color="CCCCCC" w:sz="1"/>
              <w:bottom w:val="single" w:color="CCCCCC" w:sz="1"/>
              <w:right w:val="single" w:color="CCCCCC" w:sz="1"/>
            </w:tcBorders>
          </w:tcPr>
          <w:p>
            <w:r>
              <w:rPr>
                <w:sz w:val="20"/>
                <w:szCs w:val="20"/>
              </w:rPr>
              <w:t xml:space="preserve">53% YoY growth in gold loan portfolio (FY25); zero processing fee for digital applications</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Digital SME Loans</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₹74,434 cr disbursed; 225K accounts; 10-second sanction; 45-minute turnaround</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Market Position</w:t>
            </w:r>
          </w:p>
        </w:tc>
        <w:tc>
          <w:tcPr>
            <w:tcW w:type="dxa" w:w="6000"/>
            <w:tcBorders>
              <w:top w:val="single" w:color="CCCCCC" w:sz="1"/>
              <w:left w:val="single" w:color="CCCCCC" w:sz="1"/>
              <w:bottom w:val="single" w:color="CCCCCC" w:sz="1"/>
              <w:right w:val="single" w:color="CCCCCC" w:sz="1"/>
            </w:tcBorders>
          </w:tcPr>
          <w:p>
            <w:r>
              <w:rPr>
                <w:sz w:val="20"/>
                <w:szCs w:val="20"/>
              </w:rPr>
              <w:t xml:space="preserve">PSBs account for 63% of overall gold loans (up from 54% in 2019); SBI portfolio ₹72,550 cr</w:t>
            </w:r>
          </w:p>
        </w:tc>
      </w:tr>
    </w:tbl>
    <w:p>
      <w:r>
        <w:br w:type="page"/>
      </w:r>
    </w:p>
    <w:p>
      <w:pPr>
        <w:pStyle w:val="Heading1"/>
      </w:pPr>
      <w:r>
        <w:t xml:space="preserve">4. Failures &amp; Challenges: What Didn't Work</w:t>
      </w:r>
    </w:p>
    <w:p>
      <w:pPr>
        <w:pStyle w:val="Heading2"/>
      </w:pPr>
      <w:r>
        <w:t xml:space="preserve">4.1 Rupeek: The Fintech Cautionary Tale</w:t>
      </w:r>
    </w:p>
    <w:p>
      <w:pPr>
        <w:spacing w:after="100"/>
      </w:pPr>
      <w:r>
        <w:rPr>
          <w:b/>
          <w:bCs/>
          <w:color w:val="DC3545"/>
        </w:rPr>
        <w:t xml:space="preserve">Outcome: PARTIAL FAILURE</w:t>
      </w:r>
    </w:p>
    <w:p>
      <w:pPr>
        <w:spacing w:after="200"/>
      </w:pPr>
      <w:r>
        <w:t xml:space="preserve">Rupeek, once valued at $634 million, represents the challenges fintechs face in the gold loan space despite innovative approaches.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F8D7DA" w:val="clear"/>
          </w:tcPr>
          <w:p>
            <w:r>
              <w:rPr>
                <w:b/>
                <w:bCs/>
                <w:sz w:val="20"/>
                <w:szCs w:val="20"/>
              </w:rPr>
              <w:t xml:space="preserve">Challenge</w:t>
            </w:r>
          </w:p>
        </w:tc>
        <w:tc>
          <w:tcPr>
            <w:tcW w:type="dxa" w:w="6000"/>
            <w:tcBorders>
              <w:top w:val="single" w:color="CCCCCC" w:sz="1"/>
              <w:left w:val="single" w:color="CCCCCC" w:sz="1"/>
              <w:bottom w:val="single" w:color="CCCCCC" w:sz="1"/>
              <w:right w:val="single" w:color="CCCCCC" w:sz="1"/>
            </w:tcBorders>
            <w:shd w:fill="F8D7DA" w:val="clear"/>
          </w:tcPr>
          <w:p>
            <w:r>
              <w:rPr>
                <w:b/>
                <w:bCs/>
                <w:sz w:val="20"/>
                <w:szCs w:val="20"/>
              </w:rPr>
              <w:t xml:space="preserve">Details &amp; Impact</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Valuation Crash</w:t>
            </w:r>
          </w:p>
        </w:tc>
        <w:tc>
          <w:tcPr>
            <w:tcW w:type="dxa" w:w="6000"/>
            <w:tcBorders>
              <w:top w:val="single" w:color="CCCCCC" w:sz="1"/>
              <w:left w:val="single" w:color="CCCCCC" w:sz="1"/>
              <w:bottom w:val="single" w:color="CCCCCC" w:sz="1"/>
              <w:right w:val="single" w:color="CCCCCC" w:sz="1"/>
            </w:tcBorders>
          </w:tcPr>
          <w:p>
            <w:r>
              <w:rPr>
                <w:sz w:val="20"/>
                <w:szCs w:val="20"/>
              </w:rPr>
              <w:t xml:space="preserve">Peak: $634M (Jan 2022) → Current: ~$250M (2024) - 60% valuation haircut</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Multiple Layoffs</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May 2022: 180 employees; July 2022: 50 employees; Total: 10-15% workforce reduction</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Revenue Decline</w:t>
            </w:r>
          </w:p>
        </w:tc>
        <w:tc>
          <w:tcPr>
            <w:tcW w:type="dxa" w:w="6000"/>
            <w:tcBorders>
              <w:top w:val="single" w:color="CCCCCC" w:sz="1"/>
              <w:left w:val="single" w:color="CCCCCC" w:sz="1"/>
              <w:bottom w:val="single" w:color="CCCCCC" w:sz="1"/>
              <w:right w:val="single" w:color="CCCCCC" w:sz="1"/>
            </w:tcBorders>
          </w:tcPr>
          <w:p>
            <w:r>
              <w:rPr>
                <w:sz w:val="20"/>
                <w:szCs w:val="20"/>
              </w:rPr>
              <w:t xml:space="preserve">FY23 revenue: ₹89 cr (down 27.6% YoY); Losses: ₹281 cr in FY23; ₹156.5 cr loss in FY21</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Unit Economics</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High customer acquisition cost; expensive doorstep logistics; thin margins despite $194M total funding</w:t>
            </w:r>
          </w:p>
        </w:tc>
      </w:tr>
    </w:tbl>
    <w:p>
      <w:pPr>
        <w:spacing w:before="200"/>
      </w:pPr>
      <w:r>
        <w:rPr>
          <w:b/>
          <w:bCs/>
        </w:rPr>
        <w:t xml:space="preserve">Why It Failed:</w:t>
      </w:r>
    </w:p>
    <w:p>
      <w:pPr>
        <w:pStyle w:val="ListParagraph"/>
        <w:numPr>
          <w:ilvl w:val="0"/>
          <w:numId w:val="3"/>
        </w:numPr>
      </w:pPr>
      <w:r>
        <w:rPr>
          <w:b/>
          <w:bCs/>
        </w:rPr>
        <w:t xml:space="preserve">Urban-centric model limitation: </w:t>
      </w:r>
      <w:r>
        <w:t xml:space="preserve">60%+ of gold concentrated in rural India where Rupeek had limited reach</w:t>
      </w:r>
    </w:p>
    <w:p>
      <w:pPr>
        <w:pStyle w:val="ListParagraph"/>
        <w:numPr>
          <w:ilvl w:val="0"/>
          <w:numId w:val="3"/>
        </w:numPr>
      </w:pPr>
      <w:r>
        <w:rPr>
          <w:b/>
          <w:bCs/>
        </w:rPr>
        <w:t xml:space="preserve">Cost structure mismatch: </w:t>
      </w:r>
      <w:r>
        <w:t xml:space="preserve">Doorstep service model expensive compared to incumbent branch networks</w:t>
      </w:r>
    </w:p>
    <w:p>
      <w:pPr>
        <w:pStyle w:val="ListParagraph"/>
        <w:numPr>
          <w:ilvl w:val="0"/>
          <w:numId w:val="3"/>
        </w:numPr>
      </w:pPr>
      <w:r>
        <w:rPr>
          <w:b/>
          <w:bCs/>
        </w:rPr>
        <w:t xml:space="preserve">Dependency on bank partnerships: </w:t>
      </w:r>
      <w:r>
        <w:t xml:space="preserve">Asset-light model meant lower margins; banks captured most value</w:t>
      </w:r>
    </w:p>
    <w:p>
      <w:pPr>
        <w:pStyle w:val="ListParagraph"/>
        <w:numPr>
          <w:ilvl w:val="0"/>
          <w:numId w:val="3"/>
        </w:numPr>
      </w:pPr>
      <w:r>
        <w:rPr>
          <w:b/>
          <w:bCs/>
        </w:rPr>
        <w:t xml:space="preserve">Growth vs profitability conflict: </w:t>
      </w:r>
      <w:r>
        <w:t xml:space="preserve">Aggressive expansion (planned 30→120 cities) unsustainable in funding winter</w:t>
      </w:r>
    </w:p>
    <w:p>
      <w:pPr>
        <w:pStyle w:val="Heading2"/>
      </w:pPr>
      <w:r>
        <w:t xml:space="preserve">4.2 Industry-Wide Digital Challenges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F8D7DA" w:val="clear"/>
          </w:tcPr>
          <w:p>
            <w:r>
              <w:rPr>
                <w:b/>
                <w:bCs/>
                <w:sz w:val="20"/>
                <w:szCs w:val="20"/>
              </w:rPr>
              <w:t xml:space="preserve">Challenge</w:t>
            </w:r>
          </w:p>
        </w:tc>
        <w:tc>
          <w:tcPr>
            <w:tcW w:type="dxa" w:w="6000"/>
            <w:tcBorders>
              <w:top w:val="single" w:color="CCCCCC" w:sz="1"/>
              <w:left w:val="single" w:color="CCCCCC" w:sz="1"/>
              <w:bottom w:val="single" w:color="CCCCCC" w:sz="1"/>
              <w:right w:val="single" w:color="CCCCCC" w:sz="1"/>
            </w:tcBorders>
            <w:shd w:fill="F8D7DA" w:val="clear"/>
          </w:tcPr>
          <w:p>
            <w:r>
              <w:rPr>
                <w:b/>
                <w:bCs/>
                <w:sz w:val="20"/>
                <w:szCs w:val="20"/>
              </w:rPr>
              <w:t xml:space="preserve">Impact &amp; Examples</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Physical Gold Bottleneck</w:t>
            </w:r>
          </w:p>
        </w:tc>
        <w:tc>
          <w:tcPr>
            <w:tcW w:type="dxa" w:w="6000"/>
            <w:tcBorders>
              <w:top w:val="single" w:color="CCCCCC" w:sz="1"/>
              <w:left w:val="single" w:color="CCCCCC" w:sz="1"/>
              <w:bottom w:val="single" w:color="CCCCCC" w:sz="1"/>
              <w:right w:val="single" w:color="CCCCCC" w:sz="1"/>
            </w:tcBorders>
          </w:tcPr>
          <w:p>
            <w:r>
              <w:rPr>
                <w:sz w:val="20"/>
                <w:szCs w:val="20"/>
              </w:rPr>
              <w:t xml:space="preserve">Unlike digital lending, gold loans require physical assaying - cannot be fully digitized; transport, storage, security costs remain high</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RBI Cash Disbursal Limit</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₹20,000 cash limit forced NBFCs to digitize disbursals; some customers shifted to unorganized sector preferring cash</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Digital Literacy Gap</w:t>
            </w:r>
          </w:p>
        </w:tc>
        <w:tc>
          <w:tcPr>
            <w:tcW w:type="dxa" w:w="6000"/>
            <w:tcBorders>
              <w:top w:val="single" w:color="CCCCCC" w:sz="1"/>
              <w:left w:val="single" w:color="CCCCCC" w:sz="1"/>
              <w:bottom w:val="single" w:color="CCCCCC" w:sz="1"/>
              <w:right w:val="single" w:color="CCCCCC" w:sz="1"/>
            </w:tcBorders>
          </w:tcPr>
          <w:p>
            <w:r>
              <w:rPr>
                <w:sz w:val="20"/>
                <w:szCs w:val="20"/>
              </w:rPr>
              <w:t xml:space="preserve">Rural/semi-urban MSME borrowers (45-50% of market) have limited tech skills; elderly customers prefer branch visits</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Trust Factor</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Gold has emotional/cultural value; customers hesitant to hand over family heirlooms to unknown digital agents</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Regulatory Compliance</w:t>
            </w:r>
          </w:p>
        </w:tc>
        <w:tc>
          <w:tcPr>
            <w:tcW w:type="dxa" w:w="6000"/>
            <w:tcBorders>
              <w:top w:val="single" w:color="CCCCCC" w:sz="1"/>
              <w:left w:val="single" w:color="CCCCCC" w:sz="1"/>
              <w:bottom w:val="single" w:color="CCCCCC" w:sz="1"/>
              <w:right w:val="single" w:color="CCCCCC" w:sz="1"/>
            </w:tcBorders>
          </w:tcPr>
          <w:p>
            <w:r>
              <w:rPr>
                <w:sz w:val="20"/>
                <w:szCs w:val="20"/>
              </w:rPr>
              <w:t xml:space="preserve">RBI 2025 guidelines: tiered LTV (75-85%), 12-month bullet loan cap, 1kg gold limit - increased compliance complexity</w:t>
            </w:r>
          </w:p>
        </w:tc>
      </w:tr>
    </w:tbl>
    <w:p>
      <w:r>
        <w:br w:type="page"/>
      </w:r>
    </w:p>
    <w:p>
      <w:pPr>
        <w:pStyle w:val="Heading1"/>
      </w:pPr>
      <w:r>
        <w:t xml:space="preserve">5. AI &amp; Technology Deep Dive</w:t>
      </w:r>
    </w:p>
    <w:p>
      <w:pPr>
        <w:pStyle w:val="Heading2"/>
      </w:pPr>
      <w:r>
        <w:t xml:space="preserve">5.1 XRF Technology: Game Changer</w:t>
      </w:r>
    </w:p>
    <w:p>
      <w:pPr>
        <w:spacing w:after="100"/>
      </w:pPr>
      <w:r>
        <w:rPr>
          <w:b/>
          <w:bCs/>
          <w:color w:val="28A745"/>
        </w:rPr>
        <w:t xml:space="preserve">Outcome: SUCCESS</w:t>
      </w:r>
    </w:p>
    <w:p>
      <w:pPr>
        <w:spacing w:after="200"/>
      </w:pPr>
      <w:r>
        <w:t xml:space="preserve">X-Ray Fluorescence (XRF) technology has revolutionized gold valuation in the lending industry, replacing subjective manual testing with objective, accurate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1"/>
              <w:left w:val="single" w:color="CCCCCC" w:sz="1"/>
              <w:bottom w:val="single" w:color="CCCCCC" w:sz="1"/>
              <w:right w:val="single" w:color="CCCCCC" w:sz="1"/>
            </w:tcBorders>
            <w:shd w:fill="D4EDDA" w:val="clear"/>
          </w:tcPr>
          <w:p>
            <w:r>
              <w:rPr>
                <w:b/>
                <w:bCs/>
                <w:sz w:val="20"/>
                <w:szCs w:val="20"/>
              </w:rPr>
              <w:t xml:space="preserve">XRF Capability</w:t>
            </w:r>
          </w:p>
        </w:tc>
        <w:tc>
          <w:tcPr>
            <w:tcW w:type="dxa" w:w="6000"/>
            <w:tcBorders>
              <w:top w:val="single" w:color="CCCCCC" w:sz="1"/>
              <w:left w:val="single" w:color="CCCCCC" w:sz="1"/>
              <w:bottom w:val="single" w:color="CCCCCC" w:sz="1"/>
              <w:right w:val="single" w:color="CCCCCC" w:sz="1"/>
            </w:tcBorders>
            <w:shd w:fill="D4EDDA" w:val="clear"/>
          </w:tcPr>
          <w:p>
            <w:r>
              <w:rPr>
                <w:b/>
                <w:bCs/>
                <w:sz w:val="20"/>
                <w:szCs w:val="20"/>
              </w:rPr>
              <w:t xml:space="preserve">Business Impact</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Accuracy</w:t>
            </w:r>
          </w:p>
        </w:tc>
        <w:tc>
          <w:tcPr>
            <w:tcW w:type="dxa" w:w="6000"/>
            <w:tcBorders>
              <w:top w:val="single" w:color="CCCCCC" w:sz="1"/>
              <w:left w:val="single" w:color="CCCCCC" w:sz="1"/>
              <w:bottom w:val="single" w:color="CCCCCC" w:sz="1"/>
              <w:right w:val="single" w:color="CCCCCC" w:sz="1"/>
            </w:tcBorders>
          </w:tcPr>
          <w:p>
            <w:r>
              <w:rPr>
                <w:sz w:val="20"/>
                <w:szCs w:val="20"/>
              </w:rPr>
              <w:t xml:space="preserve">±0.02% to ±0.1% accuracy; error margin &lt;0.5% - matches fire assay results</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Speed</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Results in seconds (vs minutes for manual); AI-powered models reduce testing time by 40%</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Non-Destructive</w:t>
            </w:r>
          </w:p>
        </w:tc>
        <w:tc>
          <w:tcPr>
            <w:tcW w:type="dxa" w:w="6000"/>
            <w:tcBorders>
              <w:top w:val="single" w:color="CCCCCC" w:sz="1"/>
              <w:left w:val="single" w:color="CCCCCC" w:sz="1"/>
              <w:bottom w:val="single" w:color="CCCCCC" w:sz="1"/>
              <w:right w:val="single" w:color="CCCCCC" w:sz="1"/>
            </w:tcBorders>
          </w:tcPr>
          <w:p>
            <w:r>
              <w:rPr>
                <w:sz w:val="20"/>
                <w:szCs w:val="20"/>
              </w:rPr>
              <w:t xml:space="preserve">No damage to ornaments; preserves customer gold integrity; builds trust</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Fraud Detection</w:t>
            </w:r>
          </w:p>
        </w:tc>
        <w:tc>
          <w:tcPr>
            <w:tcW w:type="dxa" w:w="6000"/>
            <w:tcBorders>
              <w:top w:val="single" w:color="CCCCCC" w:sz="1"/>
              <w:left w:val="single" w:color="CCCCCC" w:sz="1"/>
              <w:bottom w:val="single" w:color="CCCCCC" w:sz="1"/>
              <w:right w:val="single" w:color="CCCCCC" w:sz="1"/>
            </w:tcBorders>
            <w:shd w:fill="E8F4FD" w:val="clear"/>
          </w:tcPr>
          <w:p>
            <w:r>
              <w:rPr>
                <w:sz w:val="20"/>
                <w:szCs w:val="20"/>
              </w:rPr>
              <w:t xml:space="preserve">Detects plating, counterfeit gold, non-standard alloys; protects lender portfolios</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Market Growth</w:t>
            </w:r>
          </w:p>
        </w:tc>
        <w:tc>
          <w:tcPr>
            <w:tcW w:type="dxa" w:w="6000"/>
            <w:tcBorders>
              <w:top w:val="single" w:color="CCCCCC" w:sz="1"/>
              <w:left w:val="single" w:color="CCCCCC" w:sz="1"/>
              <w:bottom w:val="single" w:color="CCCCCC" w:sz="1"/>
              <w:right w:val="single" w:color="CCCCCC" w:sz="1"/>
            </w:tcBorders>
          </w:tcPr>
          <w:p>
            <w:r>
              <w:rPr>
                <w:sz w:val="20"/>
                <w:szCs w:val="20"/>
              </w:rPr>
              <w:t xml:space="preserve">XRF market: 6.2-8.5% CAGR; Asia-Pacific 40% of global revenue; India among leading adopters</w:t>
            </w:r>
          </w:p>
        </w:tc>
      </w:tr>
    </w:tbl>
    <w:p>
      <w:pPr>
        <w:pStyle w:val="Heading2"/>
      </w:pPr>
      <w:r>
        <w:t xml:space="preserve">5.2 AI Applications in Gold Lending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rPr>
          <w:tblHeader/>
        </w:trPr>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AI Application</w:t>
            </w:r>
          </w:p>
        </w:tc>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How It Works</w:t>
            </w:r>
          </w:p>
        </w:tc>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Outcome</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AI Gold Valuation</w:t>
            </w:r>
          </w:p>
        </w:tc>
        <w:tc>
          <w:tcPr>
            <w:tcW w:type="dxa" w:w="3500"/>
            <w:tcBorders>
              <w:top w:val="single" w:color="CCCCCC" w:sz="1"/>
              <w:left w:val="single" w:color="CCCCCC" w:sz="1"/>
              <w:bottom w:val="single" w:color="CCCCCC" w:sz="1"/>
              <w:right w:val="single" w:color="CCCCCC" w:sz="1"/>
            </w:tcBorders>
          </w:tcPr>
          <w:p>
            <w:r>
              <w:rPr>
                <w:sz w:val="20"/>
                <w:szCs w:val="20"/>
              </w:rPr>
              <w:t xml:space="preserve">Considers weight, purity, market rates for instant loan estimation</w:t>
            </w:r>
          </w:p>
        </w:tc>
        <w:tc>
          <w:tcPr>
            <w:tcW w:type="dxa" w:w="3000"/>
            <w:tcBorders>
              <w:top w:val="single" w:color="CCCCCC" w:sz="1"/>
              <w:left w:val="single" w:color="CCCCCC" w:sz="1"/>
              <w:bottom w:val="single" w:color="CCCCCC" w:sz="1"/>
              <w:right w:val="single" w:color="CCCCCC" w:sz="1"/>
            </w:tcBorders>
            <w:shd w:fill="D4EDDA" w:val="clear"/>
          </w:tcPr>
          <w:p>
            <w:r>
              <w:rPr>
                <w:sz w:val="20"/>
                <w:szCs w:val="20"/>
              </w:rPr>
              <w:t xml:space="preserve">SUCCESS - Faster decisions, reduced subjectivity</w:t>
            </w:r>
          </w:p>
        </w:tc>
      </w:tr>
      <w:tr>
        <w:tc>
          <w:tcPr>
            <w:tcW w:type="dxa" w:w="2500"/>
            <w:tcBorders>
              <w:top w:val="single" w:color="CCCCCC" w:sz="1"/>
              <w:left w:val="single" w:color="CCCCCC" w:sz="1"/>
              <w:bottom w:val="single" w:color="CCCCCC" w:sz="1"/>
              <w:right w:val="single" w:color="CCCCCC" w:sz="1"/>
            </w:tcBorders>
            <w:shd w:fill="E8F4FD" w:val="clear"/>
          </w:tcPr>
          <w:p>
            <w:r>
              <w:rPr>
                <w:b/>
                <w:bCs/>
                <w:sz w:val="20"/>
                <w:szCs w:val="20"/>
              </w:rPr>
              <w:t xml:space="preserve">NLP Chatbots</w:t>
            </w:r>
          </w:p>
        </w:tc>
        <w:tc>
          <w:tcPr>
            <w:tcW w:type="dxa" w:w="3500"/>
            <w:tcBorders>
              <w:top w:val="single" w:color="CCCCCC" w:sz="1"/>
              <w:left w:val="single" w:color="CCCCCC" w:sz="1"/>
              <w:bottom w:val="single" w:color="CCCCCC" w:sz="1"/>
              <w:right w:val="single" w:color="CCCCCC" w:sz="1"/>
            </w:tcBorders>
            <w:shd w:fill="E8F4FD" w:val="clear"/>
          </w:tcPr>
          <w:p>
            <w:r>
              <w:rPr>
                <w:sz w:val="20"/>
                <w:szCs w:val="20"/>
              </w:rPr>
              <w:t xml:space="preserve">24/7 customer support for loan queries, EMI info, process guidance</w:t>
            </w:r>
          </w:p>
        </w:tc>
        <w:tc>
          <w:tcPr>
            <w:tcW w:type="dxa" w:w="3000"/>
            <w:tcBorders>
              <w:top w:val="single" w:color="CCCCCC" w:sz="1"/>
              <w:left w:val="single" w:color="CCCCCC" w:sz="1"/>
              <w:bottom w:val="single" w:color="CCCCCC" w:sz="1"/>
              <w:right w:val="single" w:color="CCCCCC" w:sz="1"/>
            </w:tcBorders>
            <w:shd w:fill="D4EDDA" w:val="clear"/>
          </w:tcPr>
          <w:p>
            <w:r>
              <w:rPr>
                <w:sz w:val="20"/>
                <w:szCs w:val="20"/>
              </w:rPr>
              <w:t xml:space="preserve">SUCCESS - 39% fewer support tickets (IIFL)</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ML Fraud Detection</w:t>
            </w:r>
          </w:p>
        </w:tc>
        <w:tc>
          <w:tcPr>
            <w:tcW w:type="dxa" w:w="3500"/>
            <w:tcBorders>
              <w:top w:val="single" w:color="CCCCCC" w:sz="1"/>
              <w:left w:val="single" w:color="CCCCCC" w:sz="1"/>
              <w:bottom w:val="single" w:color="CCCCCC" w:sz="1"/>
              <w:right w:val="single" w:color="CCCCCC" w:sz="1"/>
            </w:tcBorders>
          </w:tcPr>
          <w:p>
            <w:r>
              <w:rPr>
                <w:sz w:val="20"/>
                <w:szCs w:val="20"/>
              </w:rPr>
              <w:t xml:space="preserve">Pattern recognition for counterfeit detection, suspicious transactions</w:t>
            </w:r>
          </w:p>
        </w:tc>
        <w:tc>
          <w:tcPr>
            <w:tcW w:type="dxa" w:w="3000"/>
            <w:tcBorders>
              <w:top w:val="single" w:color="CCCCCC" w:sz="1"/>
              <w:left w:val="single" w:color="CCCCCC" w:sz="1"/>
              <w:bottom w:val="single" w:color="CCCCCC" w:sz="1"/>
              <w:right w:val="single" w:color="CCCCCC" w:sz="1"/>
            </w:tcBorders>
            <w:shd w:fill="D4EDDA" w:val="clear"/>
          </w:tcPr>
          <w:p>
            <w:r>
              <w:rPr>
                <w:sz w:val="20"/>
                <w:szCs w:val="20"/>
              </w:rPr>
              <w:t xml:space="preserve">SUCCESS - Reduced NPAs, improved risk management</w:t>
            </w:r>
          </w:p>
        </w:tc>
      </w:tr>
      <w:tr>
        <w:tc>
          <w:tcPr>
            <w:tcW w:type="dxa" w:w="2500"/>
            <w:tcBorders>
              <w:top w:val="single" w:color="CCCCCC" w:sz="1"/>
              <w:left w:val="single" w:color="CCCCCC" w:sz="1"/>
              <w:bottom w:val="single" w:color="CCCCCC" w:sz="1"/>
              <w:right w:val="single" w:color="CCCCCC" w:sz="1"/>
            </w:tcBorders>
            <w:shd w:fill="E8F4FD" w:val="clear"/>
          </w:tcPr>
          <w:p>
            <w:r>
              <w:rPr>
                <w:b/>
                <w:bCs/>
                <w:sz w:val="20"/>
                <w:szCs w:val="20"/>
              </w:rPr>
              <w:t xml:space="preserve">Personalization Engine</w:t>
            </w:r>
          </w:p>
        </w:tc>
        <w:tc>
          <w:tcPr>
            <w:tcW w:type="dxa" w:w="3500"/>
            <w:tcBorders>
              <w:top w:val="single" w:color="CCCCCC" w:sz="1"/>
              <w:left w:val="single" w:color="CCCCCC" w:sz="1"/>
              <w:bottom w:val="single" w:color="CCCCCC" w:sz="1"/>
              <w:right w:val="single" w:color="CCCCCC" w:sz="1"/>
            </w:tcBorders>
            <w:shd w:fill="E8F4FD" w:val="clear"/>
          </w:tcPr>
          <w:p>
            <w:r>
              <w:rPr>
                <w:sz w:val="20"/>
                <w:szCs w:val="20"/>
              </w:rPr>
              <w:t xml:space="preserve">Data analytics for customer needs, tailored product recommendations</w:t>
            </w:r>
          </w:p>
        </w:tc>
        <w:tc>
          <w:tcPr>
            <w:tcW w:type="dxa" w:w="3000"/>
            <w:tcBorders>
              <w:top w:val="single" w:color="CCCCCC" w:sz="1"/>
              <w:left w:val="single" w:color="CCCCCC" w:sz="1"/>
              <w:bottom w:val="single" w:color="CCCCCC" w:sz="1"/>
              <w:right w:val="single" w:color="CCCCCC" w:sz="1"/>
            </w:tcBorders>
            <w:shd w:fill="D4EDDA" w:val="clear"/>
          </w:tcPr>
          <w:p>
            <w:r>
              <w:rPr>
                <w:sz w:val="20"/>
                <w:szCs w:val="20"/>
              </w:rPr>
              <w:t xml:space="preserve">SUCCESS - Increased cross-sell, customer retention</w:t>
            </w:r>
          </w:p>
        </w:tc>
      </w:tr>
      <w:tr>
        <w:tc>
          <w:tcPr>
            <w:tcW w:type="dxa" w:w="2500"/>
            <w:tcBorders>
              <w:top w:val="single" w:color="CCCCCC" w:sz="1"/>
              <w:left w:val="single" w:color="CCCCCC" w:sz="1"/>
              <w:bottom w:val="single" w:color="CCCCCC" w:sz="1"/>
              <w:right w:val="single" w:color="CCCCCC" w:sz="1"/>
            </w:tcBorders>
          </w:tcPr>
          <w:p>
            <w:r>
              <w:rPr>
                <w:b/>
                <w:bCs/>
                <w:sz w:val="20"/>
                <w:szCs w:val="20"/>
              </w:rPr>
              <w:t xml:space="preserve">Computer Vision (Gold Purity)</w:t>
            </w:r>
          </w:p>
        </w:tc>
        <w:tc>
          <w:tcPr>
            <w:tcW w:type="dxa" w:w="3500"/>
            <w:tcBorders>
              <w:top w:val="single" w:color="CCCCCC" w:sz="1"/>
              <w:left w:val="single" w:color="CCCCCC" w:sz="1"/>
              <w:bottom w:val="single" w:color="CCCCCC" w:sz="1"/>
              <w:right w:val="single" w:color="CCCCCC" w:sz="1"/>
            </w:tcBorders>
          </w:tcPr>
          <w:p>
            <w:r>
              <w:rPr>
                <w:sz w:val="20"/>
                <w:szCs w:val="20"/>
              </w:rPr>
              <w:t xml:space="preserve">Rupeek's proprietary tool for doorstep gold purity measurement</w:t>
            </w:r>
          </w:p>
        </w:tc>
        <w:tc>
          <w:tcPr>
            <w:tcW w:type="dxa" w:w="3000"/>
            <w:tcBorders>
              <w:top w:val="single" w:color="CCCCCC" w:sz="1"/>
              <w:left w:val="single" w:color="CCCCCC" w:sz="1"/>
              <w:bottom w:val="single" w:color="CCCCCC" w:sz="1"/>
              <w:right w:val="single" w:color="CCCCCC" w:sz="1"/>
            </w:tcBorders>
            <w:shd w:fill="FFF3CD" w:val="clear"/>
          </w:tcPr>
          <w:p>
            <w:r>
              <w:rPr>
                <w:sz w:val="20"/>
                <w:szCs w:val="20"/>
              </w:rPr>
              <w:t xml:space="preserve">MIXED - Worked technically but unit economics challenged</w:t>
            </w:r>
          </w:p>
        </w:tc>
      </w:tr>
      <w:tr>
        <w:tc>
          <w:tcPr>
            <w:tcW w:type="dxa" w:w="2500"/>
            <w:tcBorders>
              <w:top w:val="single" w:color="CCCCCC" w:sz="1"/>
              <w:left w:val="single" w:color="CCCCCC" w:sz="1"/>
              <w:bottom w:val="single" w:color="CCCCCC" w:sz="1"/>
              <w:right w:val="single" w:color="CCCCCC" w:sz="1"/>
            </w:tcBorders>
            <w:shd w:fill="E8F4FD" w:val="clear"/>
          </w:tcPr>
          <w:p>
            <w:r>
              <w:rPr>
                <w:b/>
                <w:bCs/>
                <w:sz w:val="20"/>
                <w:szCs w:val="20"/>
              </w:rPr>
              <w:t xml:space="preserve">AR Training (Manappuram)</w:t>
            </w:r>
          </w:p>
        </w:tc>
        <w:tc>
          <w:tcPr>
            <w:tcW w:type="dxa" w:w="3500"/>
            <w:tcBorders>
              <w:top w:val="single" w:color="CCCCCC" w:sz="1"/>
              <w:left w:val="single" w:color="CCCCCC" w:sz="1"/>
              <w:bottom w:val="single" w:color="CCCCCC" w:sz="1"/>
              <w:right w:val="single" w:color="CCCCCC" w:sz="1"/>
            </w:tcBorders>
            <w:shd w:fill="E8F4FD" w:val="clear"/>
          </w:tcPr>
          <w:p>
            <w:r>
              <w:rPr>
                <w:sz w:val="20"/>
                <w:szCs w:val="20"/>
              </w:rPr>
              <w:t xml:space="preserve">Augmented reality for virtual classroom employee training</w:t>
            </w:r>
          </w:p>
        </w:tc>
        <w:tc>
          <w:tcPr>
            <w:tcW w:type="dxa" w:w="3000"/>
            <w:tcBorders>
              <w:top w:val="single" w:color="CCCCCC" w:sz="1"/>
              <w:left w:val="single" w:color="CCCCCC" w:sz="1"/>
              <w:bottom w:val="single" w:color="CCCCCC" w:sz="1"/>
              <w:right w:val="single" w:color="CCCCCC" w:sz="1"/>
            </w:tcBorders>
            <w:shd w:fill="D4EDDA" w:val="clear"/>
          </w:tcPr>
          <w:p>
            <w:r>
              <w:rPr>
                <w:sz w:val="20"/>
                <w:szCs w:val="20"/>
              </w:rPr>
              <w:t xml:space="preserve">SUCCESS - 49,890 active users, cost savings</w:t>
            </w:r>
          </w:p>
        </w:tc>
      </w:tr>
    </w:tbl>
    <w:p>
      <w:r>
        <w:br w:type="page"/>
      </w:r>
    </w:p>
    <w:p>
      <w:pPr>
        <w:pStyle w:val="Heading1"/>
      </w:pPr>
      <w:r>
        <w:t xml:space="preserve">6. Success vs Failure: Comparative Analysis</w:t>
      </w:r>
    </w:p>
    <w:p>
      <w:pPr>
        <w:pStyle w:val="Heading2"/>
      </w:pPr>
      <w:r>
        <w:t xml:space="preserve">6.1 Key Differentiators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Factor</w:t>
            </w:r>
          </w:p>
        </w:tc>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Success Pattern</w:t>
            </w:r>
          </w:p>
        </w:tc>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Failure Pattern</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Infrastructure</w:t>
            </w:r>
          </w:p>
        </w:tc>
        <w:tc>
          <w:tcPr>
            <w:tcW w:type="dxa" w:w="3500"/>
            <w:tcBorders>
              <w:top w:val="single" w:color="CCCCCC" w:sz="1"/>
              <w:left w:val="single" w:color="CCCCCC" w:sz="1"/>
              <w:bottom w:val="single" w:color="CCCCCC" w:sz="1"/>
              <w:right w:val="single" w:color="CCCCCC" w:sz="1"/>
            </w:tcBorders>
            <w:shd w:fill="D4EDDA" w:val="clear"/>
          </w:tcPr>
          <w:p>
            <w:r>
              <w:rPr>
                <w:sz w:val="20"/>
                <w:szCs w:val="20"/>
              </w:rPr>
              <w:t xml:space="preserve">Phygital: Digital layered on existing branch network (Muthoot: 4,855 branches)</w:t>
            </w:r>
          </w:p>
        </w:tc>
        <w:tc>
          <w:tcPr>
            <w:tcW w:type="dxa" w:w="3500"/>
            <w:tcBorders>
              <w:top w:val="single" w:color="CCCCCC" w:sz="1"/>
              <w:left w:val="single" w:color="CCCCCC" w:sz="1"/>
              <w:bottom w:val="single" w:color="CCCCCC" w:sz="1"/>
              <w:right w:val="single" w:color="CCCCCC" w:sz="1"/>
            </w:tcBorders>
            <w:shd w:fill="F8D7DA" w:val="clear"/>
          </w:tcPr>
          <w:p>
            <w:r>
              <w:rPr>
                <w:sz w:val="20"/>
                <w:szCs w:val="20"/>
              </w:rPr>
              <w:t xml:space="preserve">Asset-light: Relied on bank partnerships, no owned infrastructure</w:t>
            </w:r>
          </w:p>
        </w:tc>
      </w:tr>
      <w:tr>
        <w:tc>
          <w:tcPr>
            <w:tcW w:type="dxa" w:w="2000"/>
            <w:tcBorders>
              <w:top w:val="single" w:color="CCCCCC" w:sz="1"/>
              <w:left w:val="single" w:color="CCCCCC" w:sz="1"/>
              <w:bottom w:val="single" w:color="CCCCCC" w:sz="1"/>
              <w:right w:val="single" w:color="CCCCCC" w:sz="1"/>
            </w:tcBorders>
            <w:shd w:fill="E8F4FD" w:val="clear"/>
          </w:tcPr>
          <w:p>
            <w:r>
              <w:rPr>
                <w:b/>
                <w:bCs/>
                <w:sz w:val="20"/>
                <w:szCs w:val="20"/>
              </w:rPr>
              <w:t xml:space="preserve">Geography</w:t>
            </w:r>
          </w:p>
        </w:tc>
        <w:tc>
          <w:tcPr>
            <w:tcW w:type="dxa" w:w="3500"/>
            <w:tcBorders>
              <w:top w:val="single" w:color="CCCCCC" w:sz="1"/>
              <w:left w:val="single" w:color="CCCCCC" w:sz="1"/>
              <w:bottom w:val="single" w:color="CCCCCC" w:sz="1"/>
              <w:right w:val="single" w:color="CCCCCC" w:sz="1"/>
            </w:tcBorders>
            <w:shd w:fill="D4EDDA" w:val="clear"/>
          </w:tcPr>
          <w:p>
            <w:r>
              <w:rPr>
                <w:sz w:val="20"/>
                <w:szCs w:val="20"/>
              </w:rPr>
              <w:t xml:space="preserve">Pan-India including rural (Manappuram: 44% AUM from rural/semi-urban)</w:t>
            </w:r>
          </w:p>
        </w:tc>
        <w:tc>
          <w:tcPr>
            <w:tcW w:type="dxa" w:w="3500"/>
            <w:tcBorders>
              <w:top w:val="single" w:color="CCCCCC" w:sz="1"/>
              <w:left w:val="single" w:color="CCCCCC" w:sz="1"/>
              <w:bottom w:val="single" w:color="CCCCCC" w:sz="1"/>
              <w:right w:val="single" w:color="CCCCCC" w:sz="1"/>
            </w:tcBorders>
            <w:shd w:fill="F8D7DA" w:val="clear"/>
          </w:tcPr>
          <w:p>
            <w:r>
              <w:rPr>
                <w:sz w:val="20"/>
                <w:szCs w:val="20"/>
              </w:rPr>
              <w:t xml:space="preserve">Urban-centric (60%+ gold is rural; limited reach)</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Customer Segment</w:t>
            </w:r>
          </w:p>
        </w:tc>
        <w:tc>
          <w:tcPr>
            <w:tcW w:type="dxa" w:w="3500"/>
            <w:tcBorders>
              <w:top w:val="single" w:color="CCCCCC" w:sz="1"/>
              <w:left w:val="single" w:color="CCCCCC" w:sz="1"/>
              <w:bottom w:val="single" w:color="CCCCCC" w:sz="1"/>
              <w:right w:val="single" w:color="CCCCCC" w:sz="1"/>
            </w:tcBorders>
            <w:shd w:fill="D4EDDA" w:val="clear"/>
          </w:tcPr>
          <w:p>
            <w:r>
              <w:rPr>
                <w:sz w:val="20"/>
                <w:szCs w:val="20"/>
              </w:rPr>
              <w:t xml:space="preserve">Existing + new customers; repeat business focus (70% repeat at NBFCs)</w:t>
            </w:r>
          </w:p>
        </w:tc>
        <w:tc>
          <w:tcPr>
            <w:tcW w:type="dxa" w:w="3500"/>
            <w:tcBorders>
              <w:top w:val="single" w:color="CCCCCC" w:sz="1"/>
              <w:left w:val="single" w:color="CCCCCC" w:sz="1"/>
              <w:bottom w:val="single" w:color="CCCCCC" w:sz="1"/>
              <w:right w:val="single" w:color="CCCCCC" w:sz="1"/>
            </w:tcBorders>
            <w:shd w:fill="F8D7DA" w:val="clear"/>
          </w:tcPr>
          <w:p>
            <w:r>
              <w:rPr>
                <w:sz w:val="20"/>
                <w:szCs w:val="20"/>
              </w:rPr>
              <w:t xml:space="preserve">New-to-credit focus (60%+); high acquisition cost per customer</w:t>
            </w:r>
          </w:p>
        </w:tc>
      </w:tr>
      <w:tr>
        <w:tc>
          <w:tcPr>
            <w:tcW w:type="dxa" w:w="2000"/>
            <w:tcBorders>
              <w:top w:val="single" w:color="CCCCCC" w:sz="1"/>
              <w:left w:val="single" w:color="CCCCCC" w:sz="1"/>
              <w:bottom w:val="single" w:color="CCCCCC" w:sz="1"/>
              <w:right w:val="single" w:color="CCCCCC" w:sz="1"/>
            </w:tcBorders>
            <w:shd w:fill="E8F4FD" w:val="clear"/>
          </w:tcPr>
          <w:p>
            <w:r>
              <w:rPr>
                <w:b/>
                <w:bCs/>
                <w:sz w:val="20"/>
                <w:szCs w:val="20"/>
              </w:rPr>
              <w:t xml:space="preserve">Unit Economics</w:t>
            </w:r>
          </w:p>
        </w:tc>
        <w:tc>
          <w:tcPr>
            <w:tcW w:type="dxa" w:w="3500"/>
            <w:tcBorders>
              <w:top w:val="single" w:color="CCCCCC" w:sz="1"/>
              <w:left w:val="single" w:color="CCCCCC" w:sz="1"/>
              <w:bottom w:val="single" w:color="CCCCCC" w:sz="1"/>
              <w:right w:val="single" w:color="CCCCCC" w:sz="1"/>
            </w:tcBorders>
            <w:shd w:fill="D4EDDA" w:val="clear"/>
          </w:tcPr>
          <w:p>
            <w:r>
              <w:rPr>
                <w:sz w:val="20"/>
                <w:szCs w:val="20"/>
              </w:rPr>
              <w:t xml:space="preserve">Profitable from Day 1; incremental digital investment on proven base</w:t>
            </w:r>
          </w:p>
        </w:tc>
        <w:tc>
          <w:tcPr>
            <w:tcW w:type="dxa" w:w="3500"/>
            <w:tcBorders>
              <w:top w:val="single" w:color="CCCCCC" w:sz="1"/>
              <w:left w:val="single" w:color="CCCCCC" w:sz="1"/>
              <w:bottom w:val="single" w:color="CCCCCC" w:sz="1"/>
              <w:right w:val="single" w:color="CCCCCC" w:sz="1"/>
            </w:tcBorders>
            <w:shd w:fill="F8D7DA" w:val="clear"/>
          </w:tcPr>
          <w:p>
            <w:r>
              <w:rPr>
                <w:sz w:val="20"/>
                <w:szCs w:val="20"/>
              </w:rPr>
              <w:t xml:space="preserve">Burn-heavy growth; profitability target kept extending (12-18 months repeatedly)</w:t>
            </w:r>
          </w:p>
        </w:tc>
      </w:tr>
      <w:tr>
        <w:tc>
          <w:tcPr>
            <w:tcW w:type="dxa" w:w="2000"/>
            <w:tcBorders>
              <w:top w:val="single" w:color="CCCCCC" w:sz="1"/>
              <w:left w:val="single" w:color="CCCCCC" w:sz="1"/>
              <w:bottom w:val="single" w:color="CCCCCC" w:sz="1"/>
              <w:right w:val="single" w:color="CCCCCC" w:sz="1"/>
            </w:tcBorders>
          </w:tcPr>
          <w:p>
            <w:r>
              <w:rPr>
                <w:b/>
                <w:bCs/>
                <w:sz w:val="20"/>
                <w:szCs w:val="20"/>
              </w:rPr>
              <w:t xml:space="preserve">Funding Model</w:t>
            </w:r>
          </w:p>
        </w:tc>
        <w:tc>
          <w:tcPr>
            <w:tcW w:type="dxa" w:w="3500"/>
            <w:tcBorders>
              <w:top w:val="single" w:color="CCCCCC" w:sz="1"/>
              <w:left w:val="single" w:color="CCCCCC" w:sz="1"/>
              <w:bottom w:val="single" w:color="CCCCCC" w:sz="1"/>
              <w:right w:val="single" w:color="CCCCCC" w:sz="1"/>
            </w:tcBorders>
            <w:shd w:fill="D4EDDA" w:val="clear"/>
          </w:tcPr>
          <w:p>
            <w:r>
              <w:rPr>
                <w:sz w:val="20"/>
                <w:szCs w:val="20"/>
              </w:rPr>
              <w:t xml:space="preserve">Own balance sheet + diverse funding sources; lower cost of funds</w:t>
            </w:r>
          </w:p>
        </w:tc>
        <w:tc>
          <w:tcPr>
            <w:tcW w:type="dxa" w:w="3500"/>
            <w:tcBorders>
              <w:top w:val="single" w:color="CCCCCC" w:sz="1"/>
              <w:left w:val="single" w:color="CCCCCC" w:sz="1"/>
              <w:bottom w:val="single" w:color="CCCCCC" w:sz="1"/>
              <w:right w:val="single" w:color="CCCCCC" w:sz="1"/>
            </w:tcBorders>
            <w:shd w:fill="F8D7DA" w:val="clear"/>
          </w:tcPr>
          <w:p>
            <w:r>
              <w:rPr>
                <w:sz w:val="20"/>
                <w:szCs w:val="20"/>
              </w:rPr>
              <w:t xml:space="preserve">Dependent on bank partnerships; margin squeezed by intermediation</w:t>
            </w:r>
          </w:p>
        </w:tc>
      </w:tr>
      <w:tr>
        <w:tc>
          <w:tcPr>
            <w:tcW w:type="dxa" w:w="2000"/>
            <w:tcBorders>
              <w:top w:val="single" w:color="CCCCCC" w:sz="1"/>
              <w:left w:val="single" w:color="CCCCCC" w:sz="1"/>
              <w:bottom w:val="single" w:color="CCCCCC" w:sz="1"/>
              <w:right w:val="single" w:color="CCCCCC" w:sz="1"/>
            </w:tcBorders>
            <w:shd w:fill="E8F4FD" w:val="clear"/>
          </w:tcPr>
          <w:p>
            <w:r>
              <w:rPr>
                <w:b/>
                <w:bCs/>
                <w:sz w:val="20"/>
                <w:szCs w:val="20"/>
              </w:rPr>
              <w:t xml:space="preserve">Trust Factor</w:t>
            </w:r>
          </w:p>
        </w:tc>
        <w:tc>
          <w:tcPr>
            <w:tcW w:type="dxa" w:w="3500"/>
            <w:tcBorders>
              <w:top w:val="single" w:color="CCCCCC" w:sz="1"/>
              <w:left w:val="single" w:color="CCCCCC" w:sz="1"/>
              <w:bottom w:val="single" w:color="CCCCCC" w:sz="1"/>
              <w:right w:val="single" w:color="CCCCCC" w:sz="1"/>
            </w:tcBorders>
            <w:shd w:fill="D4EDDA" w:val="clear"/>
          </w:tcPr>
          <w:p>
            <w:r>
              <w:rPr>
                <w:sz w:val="20"/>
                <w:szCs w:val="20"/>
              </w:rPr>
              <w:t xml:space="preserve">Decades of brand building; known entities in communities</w:t>
            </w:r>
          </w:p>
        </w:tc>
        <w:tc>
          <w:tcPr>
            <w:tcW w:type="dxa" w:w="3500"/>
            <w:tcBorders>
              <w:top w:val="single" w:color="CCCCCC" w:sz="1"/>
              <w:left w:val="single" w:color="CCCCCC" w:sz="1"/>
              <w:bottom w:val="single" w:color="CCCCCC" w:sz="1"/>
              <w:right w:val="single" w:color="CCCCCC" w:sz="1"/>
            </w:tcBorders>
            <w:shd w:fill="F8D7DA" w:val="clear"/>
          </w:tcPr>
          <w:p>
            <w:r>
              <w:rPr>
                <w:sz w:val="20"/>
                <w:szCs w:val="20"/>
              </w:rPr>
              <w:t xml:space="preserve">New brand; needed to build trust while handing over family gold</w:t>
            </w:r>
          </w:p>
        </w:tc>
      </w:tr>
    </w:tbl>
    <w:p>
      <w:pPr>
        <w:pStyle w:val="Heading2"/>
      </w:pPr>
      <w:r>
        <w:t xml:space="preserve">6.2 The Phygital Model Advantage</w:t>
      </w:r>
    </w:p>
    <w:p>
      <w:pPr>
        <w:spacing w:after="200"/>
      </w:pPr>
      <w:r>
        <w:t xml:space="preserve">The most successful digital transformations in gold lending followed the 'phygital' model - combining physical presence with digital capabilities:</w:t>
      </w:r>
    </w:p>
    <w:p>
      <w:pPr>
        <w:pStyle w:val="ListParagraph"/>
        <w:numPr>
          <w:ilvl w:val="0"/>
          <w:numId w:val="4"/>
        </w:numPr>
      </w:pPr>
      <w:r>
        <w:rPr>
          <w:b/>
          <w:bCs/>
        </w:rPr>
        <w:t xml:space="preserve">Physical for Trust: </w:t>
      </w:r>
      <w:r>
        <w:t xml:space="preserve">Gold is emotionally charged; customers want known, secure locations for their heirlooms</w:t>
      </w:r>
    </w:p>
    <w:p>
      <w:pPr>
        <w:pStyle w:val="ListParagraph"/>
        <w:numPr>
          <w:ilvl w:val="0"/>
          <w:numId w:val="4"/>
        </w:numPr>
      </w:pPr>
      <w:r>
        <w:rPr>
          <w:b/>
          <w:bCs/>
        </w:rPr>
        <w:t xml:space="preserve">Digital for Convenience: </w:t>
      </w:r>
      <w:r>
        <w:t xml:space="preserve">Online applications, top-ups, payments, tracking - remove friction from routine transactions</w:t>
      </w:r>
    </w:p>
    <w:p>
      <w:pPr>
        <w:pStyle w:val="ListParagraph"/>
        <w:numPr>
          <w:ilvl w:val="0"/>
          <w:numId w:val="4"/>
        </w:numPr>
      </w:pPr>
      <w:r>
        <w:rPr>
          <w:b/>
          <w:bCs/>
        </w:rPr>
        <w:t xml:space="preserve">Hybrid Customer Journey: </w:t>
      </w:r>
      <w:r>
        <w:t xml:space="preserve">Apply online → Visit branch once with gold → Manage entirely digitally thereafter</w:t>
      </w:r>
    </w:p>
    <w:p>
      <w:pPr>
        <w:pStyle w:val="ListParagraph"/>
        <w:numPr>
          <w:ilvl w:val="0"/>
          <w:numId w:val="4"/>
        </w:numPr>
      </w:pPr>
      <w:r>
        <w:rPr>
          <w:b/>
          <w:bCs/>
        </w:rPr>
        <w:t xml:space="preserve">Cost Efficiency: </w:t>
      </w:r>
      <w:r>
        <w:t xml:space="preserve">Existing infrastructure amortized; digital adds incremental value without replacing physical</w:t>
      </w:r>
    </w:p>
    <w:p>
      <w:r>
        <w:br w:type="page"/>
      </w:r>
    </w:p>
    <w:p>
      <w:pPr>
        <w:pStyle w:val="Heading1"/>
      </w:pPr>
      <w:r>
        <w:t xml:space="preserve">7. Regulatory Impact on Digitization</w:t>
      </w:r>
    </w:p>
    <w:p>
      <w:pPr>
        <w:spacing w:after="200"/>
      </w:pPr>
      <w:r>
        <w:t xml:space="preserve">RBI's regulatory interventions have significantly shaped digital adoption in the gold loan industry, creating both opportunities and challenges.</w:t>
      </w:r>
    </w:p>
    <w:p>
      <w:pPr>
        <w:pStyle w:val="Heading2"/>
      </w:pPr>
      <w:r>
        <w:t xml:space="preserve">7.1 Key RBI Regulations (2024-2025)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Regulation</w:t>
            </w:r>
          </w:p>
        </w:tc>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Digital Impact</w:t>
            </w:r>
          </w:p>
        </w:tc>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Industry Response</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₹20,000 Cash Limit</w:t>
            </w:r>
          </w:p>
        </w:tc>
        <w:tc>
          <w:tcPr>
            <w:tcW w:type="dxa" w:w="3000"/>
            <w:tcBorders>
              <w:top w:val="single" w:color="CCCCCC" w:sz="1"/>
              <w:left w:val="single" w:color="CCCCCC" w:sz="1"/>
              <w:bottom w:val="single" w:color="CCCCCC" w:sz="1"/>
              <w:right w:val="single" w:color="CCCCCC" w:sz="1"/>
            </w:tcBorders>
          </w:tcPr>
          <w:p>
            <w:r>
              <w:rPr>
                <w:sz w:val="20"/>
                <w:szCs w:val="20"/>
              </w:rPr>
              <w:t xml:space="preserve">Forced digital disbursement adoption</w:t>
            </w:r>
          </w:p>
        </w:tc>
        <w:tc>
          <w:tcPr>
            <w:tcW w:type="dxa" w:w="3000"/>
            <w:tcBorders>
              <w:top w:val="single" w:color="CCCCCC" w:sz="1"/>
              <w:left w:val="single" w:color="CCCCCC" w:sz="1"/>
              <w:bottom w:val="single" w:color="CCCCCC" w:sz="1"/>
              <w:right w:val="single" w:color="CCCCCC" w:sz="1"/>
            </w:tcBorders>
          </w:tcPr>
          <w:p>
            <w:r>
              <w:rPr>
                <w:sz w:val="20"/>
                <w:szCs w:val="20"/>
              </w:rPr>
              <w:t xml:space="preserve">Mixed: Some customers shifted to unorganized sector</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Tiered LTV (75-85%)</w:t>
            </w:r>
          </w:p>
        </w:tc>
        <w:tc>
          <w:tcPr>
            <w:tcW w:type="dxa" w:w="3000"/>
            <w:tcBorders>
              <w:top w:val="single" w:color="CCCCCC" w:sz="1"/>
              <w:left w:val="single" w:color="CCCCCC" w:sz="1"/>
              <w:bottom w:val="single" w:color="CCCCCC" w:sz="1"/>
              <w:right w:val="single" w:color="CCCCCC" w:sz="1"/>
            </w:tcBorders>
            <w:shd w:fill="E8F4FD" w:val="clear"/>
          </w:tcPr>
          <w:p>
            <w:r>
              <w:rPr>
                <w:sz w:val="20"/>
                <w:szCs w:val="20"/>
              </w:rPr>
              <w:t xml:space="preserve">Required real-time LTV monitoring systems</w:t>
            </w:r>
          </w:p>
        </w:tc>
        <w:tc>
          <w:tcPr>
            <w:tcW w:type="dxa" w:w="3000"/>
            <w:tcBorders>
              <w:top w:val="single" w:color="CCCCCC" w:sz="1"/>
              <w:left w:val="single" w:color="CCCCCC" w:sz="1"/>
              <w:bottom w:val="single" w:color="CCCCCC" w:sz="1"/>
              <w:right w:val="single" w:color="CCCCCC" w:sz="1"/>
            </w:tcBorders>
            <w:shd w:fill="E8F4FD" w:val="clear"/>
          </w:tcPr>
          <w:p>
            <w:r>
              <w:rPr>
                <w:sz w:val="20"/>
                <w:szCs w:val="20"/>
              </w:rPr>
              <w:t xml:space="preserve">Accelerated tech investment in monitoring</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12-Month Bullet Loan Cap</w:t>
            </w:r>
          </w:p>
        </w:tc>
        <w:tc>
          <w:tcPr>
            <w:tcW w:type="dxa" w:w="3000"/>
            <w:tcBorders>
              <w:top w:val="single" w:color="CCCCCC" w:sz="1"/>
              <w:left w:val="single" w:color="CCCCCC" w:sz="1"/>
              <w:bottom w:val="single" w:color="CCCCCC" w:sz="1"/>
              <w:right w:val="single" w:color="CCCCCC" w:sz="1"/>
            </w:tcBorders>
          </w:tcPr>
          <w:p>
            <w:r>
              <w:rPr>
                <w:sz w:val="20"/>
                <w:szCs w:val="20"/>
              </w:rPr>
              <w:t xml:space="preserve">Needs automated maturity tracking</w:t>
            </w:r>
          </w:p>
        </w:tc>
        <w:tc>
          <w:tcPr>
            <w:tcW w:type="dxa" w:w="3000"/>
            <w:tcBorders>
              <w:top w:val="single" w:color="CCCCCC" w:sz="1"/>
              <w:left w:val="single" w:color="CCCCCC" w:sz="1"/>
              <w:bottom w:val="single" w:color="CCCCCC" w:sz="1"/>
              <w:right w:val="single" w:color="CCCCCC" w:sz="1"/>
            </w:tcBorders>
          </w:tcPr>
          <w:p>
            <w:r>
              <w:rPr>
                <w:sz w:val="20"/>
                <w:szCs w:val="20"/>
              </w:rPr>
              <w:t xml:space="preserve">System upgrades for compliance alerts</w:t>
            </w:r>
          </w:p>
        </w:tc>
      </w:tr>
      <w:tr>
        <w:tc>
          <w:tcPr>
            <w:tcW w:type="dxa" w:w="3000"/>
            <w:tcBorders>
              <w:top w:val="single" w:color="CCCCCC" w:sz="1"/>
              <w:left w:val="single" w:color="CCCCCC" w:sz="1"/>
              <w:bottom w:val="single" w:color="CCCCCC" w:sz="1"/>
              <w:right w:val="single" w:color="CCCCCC" w:sz="1"/>
            </w:tcBorders>
            <w:shd w:fill="E8F4FD" w:val="clear"/>
          </w:tcPr>
          <w:p>
            <w:r>
              <w:rPr>
                <w:b/>
                <w:bCs/>
                <w:sz w:val="20"/>
                <w:szCs w:val="20"/>
              </w:rPr>
              <w:t xml:space="preserve">7-Day Gold Return</w:t>
            </w:r>
          </w:p>
        </w:tc>
        <w:tc>
          <w:tcPr>
            <w:tcW w:type="dxa" w:w="3000"/>
            <w:tcBorders>
              <w:top w:val="single" w:color="CCCCCC" w:sz="1"/>
              <w:left w:val="single" w:color="CCCCCC" w:sz="1"/>
              <w:bottom w:val="single" w:color="CCCCCC" w:sz="1"/>
              <w:right w:val="single" w:color="CCCCCC" w:sz="1"/>
            </w:tcBorders>
            <w:shd w:fill="E8F4FD" w:val="clear"/>
          </w:tcPr>
          <w:p>
            <w:r>
              <w:rPr>
                <w:sz w:val="20"/>
                <w:szCs w:val="20"/>
              </w:rPr>
              <w:t xml:space="preserve">Digital tracking of release process</w:t>
            </w:r>
          </w:p>
        </w:tc>
        <w:tc>
          <w:tcPr>
            <w:tcW w:type="dxa" w:w="3000"/>
            <w:tcBorders>
              <w:top w:val="single" w:color="CCCCCC" w:sz="1"/>
              <w:left w:val="single" w:color="CCCCCC" w:sz="1"/>
              <w:bottom w:val="single" w:color="CCCCCC" w:sz="1"/>
              <w:right w:val="single" w:color="CCCCCC" w:sz="1"/>
            </w:tcBorders>
            <w:shd w:fill="E8F4FD" w:val="clear"/>
          </w:tcPr>
          <w:p>
            <w:r>
              <w:rPr>
                <w:sz w:val="20"/>
                <w:szCs w:val="20"/>
              </w:rPr>
              <w:t xml:space="preserve">Improved customer communication systems</w:t>
            </w:r>
          </w:p>
        </w:tc>
      </w:tr>
      <w:tr>
        <w:tc>
          <w:tcPr>
            <w:tcW w:type="dxa" w:w="3000"/>
            <w:tcBorders>
              <w:top w:val="single" w:color="CCCCCC" w:sz="1"/>
              <w:left w:val="single" w:color="CCCCCC" w:sz="1"/>
              <w:bottom w:val="single" w:color="CCCCCC" w:sz="1"/>
              <w:right w:val="single" w:color="CCCCCC" w:sz="1"/>
            </w:tcBorders>
          </w:tcPr>
          <w:p>
            <w:r>
              <w:rPr>
                <w:b/>
                <w:bCs/>
                <w:sz w:val="20"/>
                <w:szCs w:val="20"/>
              </w:rPr>
              <w:t xml:space="preserve">1kg Gold Cap</w:t>
            </w:r>
          </w:p>
        </w:tc>
        <w:tc>
          <w:tcPr>
            <w:tcW w:type="dxa" w:w="3000"/>
            <w:tcBorders>
              <w:top w:val="single" w:color="CCCCCC" w:sz="1"/>
              <w:left w:val="single" w:color="CCCCCC" w:sz="1"/>
              <w:bottom w:val="single" w:color="CCCCCC" w:sz="1"/>
              <w:right w:val="single" w:color="CCCCCC" w:sz="1"/>
            </w:tcBorders>
          </w:tcPr>
          <w:p>
            <w:r>
              <w:rPr>
                <w:sz w:val="20"/>
                <w:szCs w:val="20"/>
              </w:rPr>
              <w:t xml:space="preserve">Cross-lender verification needed</w:t>
            </w:r>
          </w:p>
        </w:tc>
        <w:tc>
          <w:tcPr>
            <w:tcW w:type="dxa" w:w="3000"/>
            <w:tcBorders>
              <w:top w:val="single" w:color="CCCCCC" w:sz="1"/>
              <w:left w:val="single" w:color="CCCCCC" w:sz="1"/>
              <w:bottom w:val="single" w:color="CCCCCC" w:sz="1"/>
              <w:right w:val="single" w:color="CCCCCC" w:sz="1"/>
            </w:tcBorders>
          </w:tcPr>
          <w:p>
            <w:r>
              <w:rPr>
                <w:sz w:val="20"/>
                <w:szCs w:val="20"/>
              </w:rPr>
              <w:t xml:space="preserve">Industry database discussions ongoing</w:t>
            </w:r>
          </w:p>
        </w:tc>
      </w:tr>
    </w:tbl>
    <w:p>
      <w:r>
        <w:br w:type="page"/>
      </w:r>
    </w:p>
    <w:p>
      <w:pPr>
        <w:pStyle w:val="Heading1"/>
      </w:pPr>
      <w:r>
        <w:t xml:space="preserve">8. Lessons Learned &amp; Best Practices</w:t>
      </w:r>
    </w:p>
    <w:p>
      <w:pPr>
        <w:pStyle w:val="Heading2"/>
      </w:pPr>
      <w:r>
        <w:t xml:space="preserve">8.1 For Incumbents (NBFCs/Banks)</w:t>
      </w:r>
    </w:p>
    <w:p>
      <w:pPr>
        <w:pStyle w:val="ListParagraph"/>
        <w:numPr>
          <w:ilvl w:val="0"/>
          <w:numId w:val="5"/>
        </w:numPr>
      </w:pPr>
      <w:r>
        <w:rPr>
          <w:b/>
          <w:bCs/>
        </w:rPr>
        <w:t xml:space="preserve">Layer, Don't Replace: </w:t>
      </w:r>
      <w:r>
        <w:t xml:space="preserve">Digital should enhance physical infrastructure, not replace it. Muthoot's 4,855 branches + digital = market leadership</w:t>
      </w:r>
    </w:p>
    <w:p>
      <w:pPr>
        <w:pStyle w:val="ListParagraph"/>
        <w:numPr>
          <w:ilvl w:val="0"/>
          <w:numId w:val="5"/>
        </w:numPr>
      </w:pPr>
      <w:r>
        <w:rPr>
          <w:b/>
          <w:bCs/>
        </w:rPr>
        <w:t xml:space="preserve">Digitize Repeat Interactions: </w:t>
      </w:r>
      <w:r>
        <w:t xml:space="preserve">Top-ups, payments, tracking can be fully digital; first-time gold deposit benefits from branch experience</w:t>
      </w:r>
    </w:p>
    <w:p>
      <w:pPr>
        <w:pStyle w:val="ListParagraph"/>
        <w:numPr>
          <w:ilvl w:val="0"/>
          <w:numId w:val="5"/>
        </w:numPr>
      </w:pPr>
      <w:r>
        <w:rPr>
          <w:b/>
          <w:bCs/>
        </w:rPr>
        <w:t xml:space="preserve">Invest in Technology Infrastructure: </w:t>
      </w:r>
      <w:r>
        <w:t xml:space="preserve">XRF machines, AI valuation, real-time monitoring are differentiators</w:t>
      </w:r>
    </w:p>
    <w:p>
      <w:pPr>
        <w:pStyle w:val="ListParagraph"/>
        <w:numPr>
          <w:ilvl w:val="0"/>
          <w:numId w:val="5"/>
        </w:numPr>
      </w:pPr>
      <w:r>
        <w:rPr>
          <w:b/>
          <w:bCs/>
        </w:rPr>
        <w:t xml:space="preserve">Train Workforce: </w:t>
      </w:r>
      <w:r>
        <w:t xml:space="preserve">Manappuram's 49,890 users on MADU learning system shows importance of digital-ready employees</w:t>
      </w:r>
    </w:p>
    <w:p>
      <w:pPr>
        <w:pStyle w:val="Heading2"/>
      </w:pPr>
      <w:r>
        <w:t xml:space="preserve">8.2 For Fintechs</w:t>
      </w:r>
    </w:p>
    <w:p>
      <w:pPr>
        <w:pStyle w:val="ListParagraph"/>
        <w:numPr>
          <w:ilvl w:val="0"/>
          <w:numId w:val="2"/>
        </w:numPr>
      </w:pPr>
      <w:r>
        <w:rPr>
          <w:b/>
          <w:bCs/>
        </w:rPr>
        <w:t xml:space="preserve">Focus on Unit Economics Early: </w:t>
      </w:r>
      <w:r>
        <w:t xml:space="preserve">Rupeek's growth-at-all-costs approach unsustainable; profitability path must be clear</w:t>
      </w:r>
    </w:p>
    <w:p>
      <w:pPr>
        <w:pStyle w:val="ListParagraph"/>
        <w:numPr>
          <w:ilvl w:val="0"/>
          <w:numId w:val="2"/>
        </w:numPr>
      </w:pPr>
      <w:r>
        <w:rPr>
          <w:b/>
          <w:bCs/>
        </w:rPr>
        <w:t xml:space="preserve">Partner Strategically: </w:t>
      </w:r>
      <w:r>
        <w:t xml:space="preserve">Co-lending with banks can work (Federal Bank + Rupeek grew from ₹50cr to ₹1,200cr) but margins are thin</w:t>
      </w:r>
    </w:p>
    <w:p>
      <w:pPr>
        <w:pStyle w:val="ListParagraph"/>
        <w:numPr>
          <w:ilvl w:val="0"/>
          <w:numId w:val="2"/>
        </w:numPr>
      </w:pPr>
      <w:r>
        <w:rPr>
          <w:b/>
          <w:bCs/>
        </w:rPr>
        <w:t xml:space="preserve">Address Trust Gap: </w:t>
      </w:r>
      <w:r>
        <w:t xml:space="preserve">Gold is emotional; brand building and trust essential before scale</w:t>
      </w:r>
    </w:p>
    <w:p>
      <w:pPr>
        <w:pStyle w:val="ListParagraph"/>
        <w:numPr>
          <w:ilvl w:val="0"/>
          <w:numId w:val="2"/>
        </w:numPr>
      </w:pPr>
      <w:r>
        <w:rPr>
          <w:b/>
          <w:bCs/>
        </w:rPr>
        <w:t xml:space="preserve">Rural Expansion Critical: </w:t>
      </w:r>
      <w:r>
        <w:t xml:space="preserve">60%+ gold is rural; urban-only models hit ceiling quickly</w:t>
      </w:r>
    </w:p>
    <w:p>
      <w:pPr>
        <w:pStyle w:val="Heading2"/>
      </w:pPr>
      <w:r>
        <w:t xml:space="preserve">8.3 Technology Investment Priorities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00"/>
      </w:tblGrid>
      <w:tr>
        <w:trPr>
          <w:tblHeader/>
        </w:trPr>
        <w:tc>
          <w:tcPr>
            <w:tcW w:type="dxa" w:w="30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ROI Priority</w:t>
            </w:r>
          </w:p>
        </w:tc>
        <w:tc>
          <w:tcPr>
            <w:tcW w:type="dxa" w:w="3500"/>
            <w:tcBorders>
              <w:top w:val="single" w:color="CCCCCC" w:sz="1"/>
              <w:left w:val="single" w:color="CCCCCC" w:sz="1"/>
              <w:bottom w:val="single" w:color="CCCCCC" w:sz="1"/>
              <w:right w:val="single" w:color="CCCCCC" w:sz="1"/>
            </w:tcBorders>
            <w:shd w:fill="1F4E79" w:val="clear"/>
          </w:tcPr>
          <w:p>
            <w:pPr>
              <w:jc w:val="center"/>
            </w:pPr>
            <w:r>
              <w:rPr>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XRF Gold Testing</w:t>
            </w:r>
          </w:p>
        </w:tc>
        <w:tc>
          <w:tcPr>
            <w:tcW w:type="dxa" w:w="2500"/>
            <w:tcBorders>
              <w:top w:val="single" w:color="CCCCCC" w:sz="1"/>
              <w:left w:val="single" w:color="CCCCCC" w:sz="1"/>
              <w:bottom w:val="single" w:color="CCCCCC" w:sz="1"/>
              <w:right w:val="single" w:color="CCCCCC" w:sz="1"/>
            </w:tcBorders>
            <w:shd w:fill="D4EDDA" w:val="clear"/>
          </w:tcPr>
          <w:p>
            <w:pPr>
              <w:jc w:val="center"/>
            </w:pPr>
            <w:r>
              <w:rPr>
                <w:b/>
                <w:bCs/>
                <w:sz w:val="20"/>
                <w:szCs w:val="20"/>
              </w:rPr>
              <w:t xml:space="preserve">HIGH</w:t>
            </w:r>
          </w:p>
        </w:tc>
        <w:tc>
          <w:tcPr>
            <w:tcW w:type="dxa" w:w="3500"/>
            <w:tcBorders>
              <w:top w:val="single" w:color="CCCCCC" w:sz="1"/>
              <w:left w:val="single" w:color="CCCCCC" w:sz="1"/>
              <w:bottom w:val="single" w:color="CCCCCC" w:sz="1"/>
              <w:right w:val="single" w:color="CCCCCC" w:sz="1"/>
            </w:tcBorders>
          </w:tcPr>
          <w:p>
            <w:r>
              <w:rPr>
                <w:sz w:val="20"/>
                <w:szCs w:val="20"/>
              </w:rPr>
              <w:t xml:space="preserve">Immediate fraud reduction; RBI compliance; customer trust</w:t>
            </w:r>
          </w:p>
        </w:tc>
      </w:tr>
      <w:tr>
        <w:tc>
          <w:tcPr>
            <w:tcW w:type="dxa" w:w="3000"/>
            <w:tcBorders>
              <w:top w:val="single" w:color="CCCCCC" w:sz="1"/>
              <w:left w:val="single" w:color="CCCCCC" w:sz="1"/>
              <w:bottom w:val="single" w:color="CCCCCC" w:sz="1"/>
              <w:right w:val="single" w:color="CCCCCC" w:sz="1"/>
            </w:tcBorders>
            <w:shd w:fill="E8F4FD" w:val="clear"/>
          </w:tcPr>
          <w:p>
            <w:r>
              <w:rPr>
                <w:sz w:val="20"/>
                <w:szCs w:val="20"/>
              </w:rPr>
              <w:t xml:space="preserve">Mobile App (Customer)</w:t>
            </w:r>
          </w:p>
        </w:tc>
        <w:tc>
          <w:tcPr>
            <w:tcW w:type="dxa" w:w="2500"/>
            <w:tcBorders>
              <w:top w:val="single" w:color="CCCCCC" w:sz="1"/>
              <w:left w:val="single" w:color="CCCCCC" w:sz="1"/>
              <w:bottom w:val="single" w:color="CCCCCC" w:sz="1"/>
              <w:right w:val="single" w:color="CCCCCC" w:sz="1"/>
            </w:tcBorders>
            <w:shd w:fill="D4EDDA" w:val="clear"/>
          </w:tcPr>
          <w:p>
            <w:pPr>
              <w:jc w:val="center"/>
            </w:pPr>
            <w:r>
              <w:rPr>
                <w:b/>
                <w:bCs/>
                <w:sz w:val="20"/>
                <w:szCs w:val="20"/>
              </w:rPr>
              <w:t xml:space="preserve">HIGH</w:t>
            </w:r>
          </w:p>
        </w:tc>
        <w:tc>
          <w:tcPr>
            <w:tcW w:type="dxa" w:w="3500"/>
            <w:tcBorders>
              <w:top w:val="single" w:color="CCCCCC" w:sz="1"/>
              <w:left w:val="single" w:color="CCCCCC" w:sz="1"/>
              <w:bottom w:val="single" w:color="CCCCCC" w:sz="1"/>
              <w:right w:val="single" w:color="CCCCCC" w:sz="1"/>
            </w:tcBorders>
            <w:shd w:fill="E8F4FD" w:val="clear"/>
          </w:tcPr>
          <w:p>
            <w:r>
              <w:rPr>
                <w:sz w:val="20"/>
                <w:szCs w:val="20"/>
              </w:rPr>
              <w:t xml:space="preserve">68% branch footfall reduction; self-service; cross-sell</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Digital Payments/Collections</w:t>
            </w:r>
          </w:p>
        </w:tc>
        <w:tc>
          <w:tcPr>
            <w:tcW w:type="dxa" w:w="2500"/>
            <w:tcBorders>
              <w:top w:val="single" w:color="CCCCCC" w:sz="1"/>
              <w:left w:val="single" w:color="CCCCCC" w:sz="1"/>
              <w:bottom w:val="single" w:color="CCCCCC" w:sz="1"/>
              <w:right w:val="single" w:color="CCCCCC" w:sz="1"/>
            </w:tcBorders>
            <w:shd w:fill="D4EDDA" w:val="clear"/>
          </w:tcPr>
          <w:p>
            <w:pPr>
              <w:jc w:val="center"/>
            </w:pPr>
            <w:r>
              <w:rPr>
                <w:b/>
                <w:bCs/>
                <w:sz w:val="20"/>
                <w:szCs w:val="20"/>
              </w:rPr>
              <w:t xml:space="preserve">HIGH</w:t>
            </w:r>
          </w:p>
        </w:tc>
        <w:tc>
          <w:tcPr>
            <w:tcW w:type="dxa" w:w="3500"/>
            <w:tcBorders>
              <w:top w:val="single" w:color="CCCCCC" w:sz="1"/>
              <w:left w:val="single" w:color="CCCCCC" w:sz="1"/>
              <w:bottom w:val="single" w:color="CCCCCC" w:sz="1"/>
              <w:right w:val="single" w:color="CCCCCC" w:sz="1"/>
            </w:tcBorders>
          </w:tcPr>
          <w:p>
            <w:r>
              <w:rPr>
                <w:sz w:val="20"/>
                <w:szCs w:val="20"/>
              </w:rPr>
              <w:t xml:space="preserve">54% digital collections; reduced cash handling; compliance</w:t>
            </w:r>
          </w:p>
        </w:tc>
      </w:tr>
      <w:tr>
        <w:tc>
          <w:tcPr>
            <w:tcW w:type="dxa" w:w="3000"/>
            <w:tcBorders>
              <w:top w:val="single" w:color="CCCCCC" w:sz="1"/>
              <w:left w:val="single" w:color="CCCCCC" w:sz="1"/>
              <w:bottom w:val="single" w:color="CCCCCC" w:sz="1"/>
              <w:right w:val="single" w:color="CCCCCC" w:sz="1"/>
            </w:tcBorders>
            <w:shd w:fill="E8F4FD" w:val="clear"/>
          </w:tcPr>
          <w:p>
            <w:r>
              <w:rPr>
                <w:sz w:val="20"/>
                <w:szCs w:val="20"/>
              </w:rPr>
              <w:t xml:space="preserve">AI/ML Fraud Detection</w:t>
            </w:r>
          </w:p>
        </w:tc>
        <w:tc>
          <w:tcPr>
            <w:tcW w:type="dxa" w:w="2500"/>
            <w:tcBorders>
              <w:top w:val="single" w:color="CCCCCC" w:sz="1"/>
              <w:left w:val="single" w:color="CCCCCC" w:sz="1"/>
              <w:bottom w:val="single" w:color="CCCCCC" w:sz="1"/>
              <w:right w:val="single" w:color="CCCCCC" w:sz="1"/>
            </w:tcBorders>
            <w:shd w:fill="FFF3CD" w:val="clear"/>
          </w:tcPr>
          <w:p>
            <w:pPr>
              <w:jc w:val="center"/>
            </w:pPr>
            <w:r>
              <w:rPr>
                <w:b/>
                <w:bCs/>
                <w:sz w:val="20"/>
                <w:szCs w:val="20"/>
              </w:rPr>
              <w:t xml:space="preserve">MEDIUM</w:t>
            </w:r>
          </w:p>
        </w:tc>
        <w:tc>
          <w:tcPr>
            <w:tcW w:type="dxa" w:w="3500"/>
            <w:tcBorders>
              <w:top w:val="single" w:color="CCCCCC" w:sz="1"/>
              <w:left w:val="single" w:color="CCCCCC" w:sz="1"/>
              <w:bottom w:val="single" w:color="CCCCCC" w:sz="1"/>
              <w:right w:val="single" w:color="CCCCCC" w:sz="1"/>
            </w:tcBorders>
            <w:shd w:fill="E8F4FD" w:val="clear"/>
          </w:tcPr>
          <w:p>
            <w:r>
              <w:rPr>
                <w:sz w:val="20"/>
                <w:szCs w:val="20"/>
              </w:rPr>
              <w:t xml:space="preserve">Risk reduction; portfolio quality; requires data maturity</w:t>
            </w:r>
          </w:p>
        </w:tc>
      </w:tr>
      <w:tr>
        <w:tc>
          <w:tcPr>
            <w:tcW w:type="dxa" w:w="3000"/>
            <w:tcBorders>
              <w:top w:val="single" w:color="CCCCCC" w:sz="1"/>
              <w:left w:val="single" w:color="CCCCCC" w:sz="1"/>
              <w:bottom w:val="single" w:color="CCCCCC" w:sz="1"/>
              <w:right w:val="single" w:color="CCCCCC" w:sz="1"/>
            </w:tcBorders>
          </w:tcPr>
          <w:p>
            <w:r>
              <w:rPr>
                <w:sz w:val="20"/>
                <w:szCs w:val="20"/>
              </w:rPr>
              <w:t xml:space="preserve">Doorstep Digital</w:t>
            </w:r>
          </w:p>
        </w:tc>
        <w:tc>
          <w:tcPr>
            <w:tcW w:type="dxa" w:w="2500"/>
            <w:tcBorders>
              <w:top w:val="single" w:color="CCCCCC" w:sz="1"/>
              <w:left w:val="single" w:color="CCCCCC" w:sz="1"/>
              <w:bottom w:val="single" w:color="CCCCCC" w:sz="1"/>
              <w:right w:val="single" w:color="CCCCCC" w:sz="1"/>
            </w:tcBorders>
            <w:shd w:fill="F8D7DA" w:val="clear"/>
          </w:tcPr>
          <w:p>
            <w:pPr>
              <w:jc w:val="center"/>
            </w:pPr>
            <w:r>
              <w:rPr>
                <w:b/>
                <w:bCs/>
                <w:sz w:val="20"/>
                <w:szCs w:val="20"/>
              </w:rPr>
              <w:t xml:space="preserve">LOW</w:t>
            </w:r>
          </w:p>
        </w:tc>
        <w:tc>
          <w:tcPr>
            <w:tcW w:type="dxa" w:w="3500"/>
            <w:tcBorders>
              <w:top w:val="single" w:color="CCCCCC" w:sz="1"/>
              <w:left w:val="single" w:color="CCCCCC" w:sz="1"/>
              <w:bottom w:val="single" w:color="CCCCCC" w:sz="1"/>
              <w:right w:val="single" w:color="CCCCCC" w:sz="1"/>
            </w:tcBorders>
          </w:tcPr>
          <w:p>
            <w:r>
              <w:rPr>
                <w:sz w:val="20"/>
                <w:szCs w:val="20"/>
              </w:rPr>
              <w:t xml:space="preserve">High cost; logistics complexity; limited scalability</w:t>
            </w:r>
          </w:p>
        </w:tc>
      </w:tr>
    </w:tbl>
    <w:p>
      <w:r>
        <w:br w:type="page"/>
      </w:r>
    </w:p>
    <w:p>
      <w:pPr>
        <w:pStyle w:val="Heading1"/>
      </w:pPr>
      <w:r>
        <w:t xml:space="preserve">9. Future Outlook</w:t>
      </w:r>
    </w:p>
    <w:p>
      <w:pPr>
        <w:pStyle w:val="Heading2"/>
      </w:pPr>
      <w:r>
        <w:t xml:space="preserve">9.1 Market Projections</w:t>
      </w:r>
    </w:p>
    <w:p>
      <w:pPr>
        <w:pStyle w:val="ListParagraph"/>
        <w:numPr>
          <w:ilvl w:val="0"/>
          <w:numId w:val="2"/>
        </w:numPr>
      </w:pPr>
      <w:r>
        <w:rPr>
          <w:b/>
          <w:bCs/>
        </w:rPr>
        <w:t xml:space="preserve">Market Size: </w:t>
      </w:r>
      <w:r>
        <w:t xml:space="preserve">₹7.1 lakh crore (2024) → ₹14.19 lakh crore (2028) at 14.85% CAGR</w:t>
      </w:r>
    </w:p>
    <w:p>
      <w:pPr>
        <w:pStyle w:val="ListParagraph"/>
        <w:numPr>
          <w:ilvl w:val="0"/>
          <w:numId w:val="2"/>
        </w:numPr>
      </w:pPr>
      <w:r>
        <w:rPr>
          <w:b/>
          <w:bCs/>
        </w:rPr>
        <w:t xml:space="preserve">Digital Penetration: </w:t>
      </w:r>
      <w:r>
        <w:t xml:space="preserve">Expected to reach 25-30% of market by 2028 (from ~15% currently)</w:t>
      </w:r>
    </w:p>
    <w:p>
      <w:pPr>
        <w:pStyle w:val="ListParagraph"/>
        <w:numPr>
          <w:ilvl w:val="0"/>
          <w:numId w:val="2"/>
        </w:numPr>
      </w:pPr>
      <w:r>
        <w:rPr>
          <w:b/>
          <w:bCs/>
        </w:rPr>
        <w:t xml:space="preserve">Organized Market Share: </w:t>
      </w:r>
      <w:r>
        <w:t xml:space="preserve">Currently 35%, expected to grow as digital drives formalization</w:t>
      </w:r>
    </w:p>
    <w:p>
      <w:pPr>
        <w:pStyle w:val="ListParagraph"/>
        <w:numPr>
          <w:ilvl w:val="0"/>
          <w:numId w:val="2"/>
        </w:numPr>
      </w:pPr>
      <w:r>
        <w:rPr>
          <w:b/>
          <w:bCs/>
        </w:rPr>
        <w:t xml:space="preserve">Co-lending: </w:t>
      </w:r>
      <w:r>
        <w:t xml:space="preserve">Bank-NBFC partnerships expected to reach ₹1 trillion+</w:t>
      </w:r>
    </w:p>
    <w:p>
      <w:pPr>
        <w:pStyle w:val="Heading2"/>
      </w:pPr>
      <w:r>
        <w:t xml:space="preserve">9.2 Emerging Technologies</w:t>
      </w:r>
    </w:p>
    <w:p>
      <w:pPr>
        <w:pStyle w:val="ListParagraph"/>
        <w:numPr>
          <w:ilvl w:val="0"/>
          <w:numId w:val="2"/>
        </w:numPr>
      </w:pPr>
      <w:r>
        <w:rPr>
          <w:b/>
          <w:bCs/>
        </w:rPr>
        <w:t xml:space="preserve">Blockchain: </w:t>
      </w:r>
      <w:r>
        <w:t xml:space="preserve">Immutable records of gold purity and ownership verification</w:t>
      </w:r>
    </w:p>
    <w:p>
      <w:pPr>
        <w:pStyle w:val="ListParagraph"/>
        <w:numPr>
          <w:ilvl w:val="0"/>
          <w:numId w:val="2"/>
        </w:numPr>
      </w:pPr>
      <w:r>
        <w:rPr>
          <w:b/>
          <w:bCs/>
        </w:rPr>
        <w:t xml:space="preserve">IoT-Enabled Storage: </w:t>
      </w:r>
      <w:r>
        <w:t xml:space="preserve">Real-time monitoring of pledged gold in vaults</w:t>
      </w:r>
    </w:p>
    <w:p>
      <w:pPr>
        <w:pStyle w:val="ListParagraph"/>
        <w:numPr>
          <w:ilvl w:val="0"/>
          <w:numId w:val="2"/>
        </w:numPr>
      </w:pPr>
      <w:r>
        <w:rPr>
          <w:b/>
          <w:bCs/>
        </w:rPr>
        <w:t xml:space="preserve">Digital Gold Collateral: </w:t>
      </w:r>
      <w:r>
        <w:t xml:space="preserve">Loans against digital gold, SGBs, Gold ETFs gaining traction</w:t>
      </w:r>
    </w:p>
    <w:p>
      <w:pPr>
        <w:pStyle w:val="ListParagraph"/>
        <w:numPr>
          <w:ilvl w:val="0"/>
          <w:numId w:val="2"/>
        </w:numPr>
      </w:pPr>
      <w:r>
        <w:rPr>
          <w:b/>
          <w:bCs/>
        </w:rPr>
        <w:t xml:space="preserve">GenAI Integration: </w:t>
      </w:r>
      <w:r>
        <w:t xml:space="preserve">Customer service, document processing, personalized products</w:t>
      </w:r>
    </w:p>
    <w:p>
      <w:pPr>
        <w:pStyle w:val="Heading2"/>
      </w:pPr>
      <w:r>
        <w:t xml:space="preserve">9.3 Conclusion</w:t>
      </w:r>
    </w:p>
    <w:p>
      <w:pPr>
        <w:spacing w:after="200"/>
      </w:pPr>
      <w:r>
        <w:t xml:space="preserve">The digitization of India's gold loan industry presents a nuanced picture of success and failure. The winners have been those who adopted a 'phygital' approach - using digital to enhance rather than replace physical infrastructure. Pure-play fintechs have struggled with unit economics and the inherent physicality of gold as collateral.</w:t>
      </w:r>
    </w:p>
    <w:p>
      <w:pPr>
        <w:spacing w:after="200"/>
      </w:pPr>
      <w:r>
        <w:t xml:space="preserve">AI and technology investments in XRF testing, mobile apps, and digital payments have shown clear ROI. However, the industry's future lies not in full digitization but in intelligent hybrid models that combine digital convenience with the trust and security of physical presence.</w:t>
      </w:r>
    </w:p>
    <w:p>
      <w:pPr>
        <w:spacing w:after="200"/>
      </w:pPr>
      <w:r>
        <w:t xml:space="preserve">As RBI regulations tighten and gold prices remain elevated, the organized sector is well-positioned for growth. The key success factor will be the ability to serve both tech-savvy urban millennials and traditional rural borrowers through flexible, omnichannel approaches.</w:t>
      </w:r>
    </w:p>
    <w:p>
      <w:r>
        <w:br w:type="page"/>
      </w:r>
    </w:p>
    <w:p>
      <w:pPr>
        <w:pStyle w:val="Heading1"/>
      </w:pPr>
      <w:r>
        <w:t xml:space="preserve">10. Data Sources</w:t>
      </w:r>
    </w:p>
    <w:p>
      <w:pPr>
        <w:pStyle w:val="ListParagraph"/>
        <w:numPr>
          <w:ilvl w:val="0"/>
          <w:numId w:val="2"/>
        </w:numPr>
      </w:pPr>
      <w:r>
        <w:t xml:space="preserve">PwC India - 'Striking Gold' Report 2024</w:t>
      </w:r>
    </w:p>
    <w:p>
      <w:pPr>
        <w:pStyle w:val="ListParagraph"/>
        <w:numPr>
          <w:ilvl w:val="0"/>
          <w:numId w:val="2"/>
        </w:numPr>
      </w:pPr>
      <w:r>
        <w:t xml:space="preserve">Reserve Bank of India - Gold Loan Guidelines 2024-2025</w:t>
      </w:r>
    </w:p>
    <w:p>
      <w:pPr>
        <w:pStyle w:val="ListParagraph"/>
        <w:numPr>
          <w:ilvl w:val="0"/>
          <w:numId w:val="2"/>
        </w:numPr>
      </w:pPr>
      <w:r>
        <w:t xml:space="preserve">Muthoot Finance - Annual Reports &amp; Investor Presentations FY24-25</w:t>
      </w:r>
    </w:p>
    <w:p>
      <w:pPr>
        <w:pStyle w:val="ListParagraph"/>
        <w:numPr>
          <w:ilvl w:val="0"/>
          <w:numId w:val="2"/>
        </w:numPr>
      </w:pPr>
      <w:r>
        <w:t xml:space="preserve">Manappuram Finance - Annual Reports FY24 &amp; Digital Strength Reports</w:t>
      </w:r>
    </w:p>
    <w:p>
      <w:pPr>
        <w:pStyle w:val="ListParagraph"/>
        <w:numPr>
          <w:ilvl w:val="0"/>
          <w:numId w:val="2"/>
        </w:numPr>
      </w:pPr>
      <w:r>
        <w:t xml:space="preserve">IIFL Finance - Case Studies &amp; App Performance Data</w:t>
      </w:r>
    </w:p>
    <w:p>
      <w:pPr>
        <w:pStyle w:val="ListParagraph"/>
        <w:numPr>
          <w:ilvl w:val="0"/>
          <w:numId w:val="2"/>
        </w:numPr>
      </w:pPr>
      <w:r>
        <w:t xml:space="preserve">Rupeek - Funding Data (Tracxn, Inc42, Entrackr)</w:t>
      </w:r>
    </w:p>
    <w:p>
      <w:pPr>
        <w:pStyle w:val="ListParagraph"/>
        <w:numPr>
          <w:ilvl w:val="0"/>
          <w:numId w:val="2"/>
        </w:numPr>
      </w:pPr>
      <w:r>
        <w:t xml:space="preserve">SBI - YONO Platform &amp; Gold Loan Performance FY25</w:t>
      </w:r>
    </w:p>
    <w:p>
      <w:pPr>
        <w:pStyle w:val="ListParagraph"/>
        <w:numPr>
          <w:ilvl w:val="0"/>
          <w:numId w:val="2"/>
        </w:numPr>
      </w:pPr>
      <w:r>
        <w:t xml:space="preserve">EY India - RBI Gold Loan Impact Assessment 2025</w:t>
      </w:r>
    </w:p>
    <w:p>
      <w:pPr>
        <w:pStyle w:val="ListParagraph"/>
        <w:numPr>
          <w:ilvl w:val="0"/>
          <w:numId w:val="2"/>
        </w:numPr>
      </w:pPr>
      <w:r>
        <w:t xml:space="preserve">Maximize Market Research - India Gold Loan Market Report</w:t>
      </w:r>
    </w:p>
    <w:p>
      <w:pPr>
        <w:pStyle w:val="ListParagraph"/>
        <w:numPr>
          <w:ilvl w:val="0"/>
          <w:numId w:val="2"/>
        </w:numPr>
      </w:pPr>
      <w:r>
        <w:t xml:space="preserve">ICRA, CRISIL, Fitch Ratings - Industry Analysis</w:t>
      </w:r>
    </w:p>
    <w:p>
      <w:pPr>
        <w:pStyle w:val="ListParagraph"/>
        <w:numPr>
          <w:ilvl w:val="0"/>
          <w:numId w:val="2"/>
        </w:numPr>
      </w:pPr>
      <w:r>
        <w:t xml:space="preserve">World Gold Council - Gold Demand Reports</w:t>
      </w:r>
    </w:p>
    <w:p>
      <w:pPr>
        <w:pStyle w:val="ListParagraph"/>
        <w:numPr>
          <w:ilvl w:val="0"/>
          <w:numId w:val="2"/>
        </w:numPr>
      </w:pPr>
      <w:r>
        <w:t xml:space="preserve">Elevation Capital - Fintech Year in Review 2024</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Digital Transformation in Indian Gold Loan Industry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9"/>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2025-12-22T08:12:34.717Z</dcterms:created>
  <dcterms:modified xsi:type="dcterms:W3CDTF">2025-12-22T08:12:34.718Z</dcterms:modified>
</cp:coreProperties>
</file>

<file path=docProps/custom.xml><?xml version="1.0" encoding="utf-8"?>
<Properties xmlns="http://schemas.openxmlformats.org/officeDocument/2006/custom-properties" xmlns:vt="http://schemas.openxmlformats.org/officeDocument/2006/docPropsVTypes"/>
</file>