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COVID-Era Digital Gold Loan</w:t>
      </w:r>
    </w:p>
    <w:p>
      <w:pPr>
        <w:spacing w:after="100"/>
        <w:jc w:val="center"/>
      </w:pPr>
      <w:r>
        <w:rPr>
          <w:b/>
          <w:bCs/>
          <w:color w:val="2E75B6"/>
          <w:sz w:val="48"/>
          <w:szCs w:val="48"/>
        </w:rPr>
        <w:t xml:space="preserve">Deep Dive Analysis</w:t>
      </w:r>
    </w:p>
    <w:p>
      <w:pPr>
        <w:spacing w:after="600"/>
        <w:jc w:val="center"/>
      </w:pPr>
      <w:r>
        <w:rPr>
          <w:color w:val="666666"/>
          <w:sz w:val="32"/>
          <w:szCs w:val="32"/>
        </w:rPr>
        <w:t xml:space="preserve">Manappuram Finance &amp; IIFL Finance</w:t>
      </w:r>
    </w:p>
    <w:p>
      <w:pPr>
        <w:spacing w:after="200"/>
        <w:jc w:val="center"/>
      </w:pPr>
      <w:r>
        <w:rPr>
          <w:i/>
          <w:iCs/>
          <w:sz w:val="24"/>
          <w:szCs w:val="24"/>
        </w:rPr>
        <w:t xml:space="preserve">Implementation Strategies, Challenges &amp; Lessons Learned</w:t>
      </w:r>
    </w:p>
    <w:p>
      <w:pPr>
        <w:spacing w:before="1000"/>
        <w:jc w:val="center"/>
      </w:pPr>
      <w:r>
        <w:rPr>
          <w:color w:val="666666"/>
          <w:sz w:val="22"/>
          <w:szCs w:val="22"/>
        </w:rPr>
        <w:t xml:space="preserve">Research Period: 2015-2025</w:t>
      </w:r>
    </w:p>
    <w:p>
      <w:pPr>
        <w:jc w:val="center"/>
      </w:pPr>
      <w:r>
        <w:rPr>
          <w:color w:val="666666"/>
          <w:sz w:val="22"/>
          <w:szCs w:val="22"/>
        </w:rPr>
        <w:t xml:space="preserve">Focus: COVID-19 Acceleration (2020-2021)</w:t>
      </w:r>
    </w:p>
    <w:p>
      <w:pPr>
        <w:spacing w:before="800"/>
        <w:jc w:val="center"/>
      </w:pPr>
      <w:r>
        <w:rPr>
          <w:sz w:val="22"/>
          <w:szCs w:val="22"/>
        </w:rPr>
        <w:t xml:space="preserve">December 2025</w:t>
      </w:r>
    </w:p>
    <w:p>
      <w:r>
        <w:br w:type="page"/>
      </w:r>
    </w:p>
    <w:p>
      <w:pPr>
        <w:pStyle w:val="Heading1"/>
      </w:pPr>
      <w:r>
        <w:t xml:space="preserve">Executive Summary</w:t>
      </w:r>
    </w:p>
    <w:p>
      <w:pPr>
        <w:spacing w:after="200"/>
      </w:pPr>
      <w:r>
        <w:t xml:space="preserve">This comprehensive analysis examines how Manappuram Finance and IIFL Finance leveraged the COVID-19 pandemic and subsequent financial stress period to experiment with, implement, and scale their online gold loan platforms. Both NBFCs adopted distinct yet complementary strategies that ultimately converged on a 'phygital' model—combining digital convenience with physical trust anchors.</w:t>
      </w:r>
    </w:p>
    <w:p>
      <w:pPr>
        <w:pStyle w:val="Heading2"/>
      </w:pPr>
      <w:r>
        <w:t xml:space="preserve">Key Research Questions Addressed</w:t>
      </w:r>
    </w:p>
    <w:p>
      <w:pPr>
        <w:pStyle w:val="ListParagraph"/>
        <w:numPr>
          <w:ilvl w:val="0"/>
          <w:numId w:val="2"/>
        </w:numPr>
      </w:pPr>
      <w:r>
        <w:t xml:space="preserve">How was gold purity checked instantly for doorstep loans?</w:t>
      </w:r>
    </w:p>
    <w:p>
      <w:pPr>
        <w:pStyle w:val="ListParagraph"/>
        <w:numPr>
          <w:ilvl w:val="0"/>
          <w:numId w:val="2"/>
        </w:numPr>
      </w:pPr>
      <w:r>
        <w:t xml:space="preserve">When was the loan amount disbursed in the doorstep model?</w:t>
      </w:r>
    </w:p>
    <w:p>
      <w:pPr>
        <w:pStyle w:val="ListParagraph"/>
        <w:numPr>
          <w:ilvl w:val="0"/>
          <w:numId w:val="2"/>
        </w:numPr>
      </w:pPr>
      <w:r>
        <w:t xml:space="preserve">What were the minimum ticket sizes for doorstep collection?</w:t>
      </w:r>
    </w:p>
    <w:p>
      <w:pPr>
        <w:pStyle w:val="ListParagraph"/>
        <w:numPr>
          <w:ilvl w:val="0"/>
          <w:numId w:val="2"/>
        </w:numPr>
      </w:pPr>
      <w:r>
        <w:t xml:space="preserve">What logistical challenges emerged and how were they overcome?</w:t>
      </w:r>
    </w:p>
    <w:p>
      <w:pPr>
        <w:pStyle w:val="ListParagraph"/>
        <w:numPr>
          <w:ilvl w:val="0"/>
          <w:numId w:val="2"/>
        </w:numPr>
      </w:pPr>
      <w:r>
        <w:t xml:space="preserve">How did they build trust with customers handing over family heirlooms?</w:t>
      </w:r>
    </w:p>
    <w:p>
      <w:pPr>
        <w:pStyle w:val="ListParagraph"/>
        <w:numPr>
          <w:ilvl w:val="0"/>
          <w:numId w:val="2"/>
        </w:numPr>
      </w:pPr>
      <w:r>
        <w:t xml:space="preserve">How did they scale from pilot to pan-India operations?</w:t>
      </w:r>
    </w:p>
    <w:p>
      <w:pPr>
        <w:pStyle w:val="Heading2"/>
      </w:pPr>
      <w:r>
        <w:t xml:space="preserve">Critical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Dimension</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Key Finding</w:t>
            </w:r>
          </w:p>
        </w:tc>
      </w:tr>
      <w:tr>
        <w:tc>
          <w:tcPr>
            <w:tcW w:type="dxa" w:w="3120"/>
            <w:tcBorders>
              <w:top w:val="single" w:color="CCCCCC" w:sz="1"/>
              <w:left w:val="single" w:color="CCCCCC" w:sz="1"/>
              <w:bottom w:val="single" w:color="CCCCCC" w:sz="1"/>
              <w:right w:val="single" w:color="CCCCCC" w:sz="1"/>
            </w:tcBorders>
          </w:tcPr>
          <w:p>
            <w:r>
              <w:rPr>
                <w:b/>
                <w:bCs/>
              </w:rPr>
              <w:t xml:space="preserve">Gold Testing</w:t>
            </w:r>
          </w:p>
        </w:tc>
        <w:tc>
          <w:tcPr>
            <w:tcW w:type="dxa" w:w="6240"/>
            <w:tcBorders>
              <w:top w:val="single" w:color="CCCCCC" w:sz="1"/>
              <w:left w:val="single" w:color="CCCCCC" w:sz="1"/>
              <w:bottom w:val="single" w:color="CCCCCC" w:sz="1"/>
              <w:right w:val="single" w:color="CCCCCC" w:sz="1"/>
            </w:tcBorders>
          </w:tcPr>
          <w:p>
            <w:r>
              <w:t xml:space="preserve">Portable karat meters and XRF devices for doorstep; full testing at branch within 30 minutes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Disbursement</w:t>
            </w:r>
          </w:p>
        </w:tc>
        <w:tc>
          <w:tcPr>
            <w:tcW w:type="dxa" w:w="6240"/>
            <w:tcBorders>
              <w:top w:val="single" w:color="CCCCCC" w:sz="1"/>
              <w:left w:val="single" w:color="CCCCCC" w:sz="1"/>
              <w:bottom w:val="single" w:color="CCCCCC" w:sz="1"/>
              <w:right w:val="single" w:color="CCCCCC" w:sz="1"/>
            </w:tcBorders>
            <w:shd w:fill="F2F2F2" w:val="clear"/>
          </w:tcPr>
          <w:p>
            <w:r>
              <w:t xml:space="preserve">Instant via IMPS (24x7); funds credited before agent leaves customer's home</w:t>
            </w:r>
          </w:p>
        </w:tc>
      </w:tr>
      <w:tr>
        <w:tc>
          <w:tcPr>
            <w:tcW w:type="dxa" w:w="3120"/>
            <w:tcBorders>
              <w:top w:val="single" w:color="CCCCCC" w:sz="1"/>
              <w:left w:val="single" w:color="CCCCCC" w:sz="1"/>
              <w:bottom w:val="single" w:color="CCCCCC" w:sz="1"/>
              <w:right w:val="single" w:color="CCCCCC" w:sz="1"/>
            </w:tcBorders>
          </w:tcPr>
          <w:p>
            <w:r>
              <w:rPr>
                <w:b/>
                <w:bCs/>
              </w:rPr>
              <w:t xml:space="preserve">Minimum Ticket Size</w:t>
            </w:r>
          </w:p>
        </w:tc>
        <w:tc>
          <w:tcPr>
            <w:tcW w:type="dxa" w:w="6240"/>
            <w:tcBorders>
              <w:top w:val="single" w:color="CCCCCC" w:sz="1"/>
              <w:left w:val="single" w:color="CCCCCC" w:sz="1"/>
              <w:bottom w:val="single" w:color="CCCCCC" w:sz="1"/>
              <w:right w:val="single" w:color="CCCCCC" w:sz="1"/>
            </w:tcBorders>
          </w:tcPr>
          <w:p>
            <w:r>
              <w:t xml:space="preserve">IIFL: ₹3,000 minimum; Manappuram: ₹1,000 minimum; No explicit doorstep minimum</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Trust Mechanism</w:t>
            </w:r>
          </w:p>
        </w:tc>
        <w:tc>
          <w:tcPr>
            <w:tcW w:type="dxa" w:w="6240"/>
            <w:tcBorders>
              <w:top w:val="single" w:color="CCCCCC" w:sz="1"/>
              <w:left w:val="single" w:color="CCCCCC" w:sz="1"/>
              <w:bottom w:val="single" w:color="CCCCCC" w:sz="1"/>
              <w:right w:val="single" w:color="CCCCCC" w:sz="1"/>
            </w:tcBorders>
            <w:shd w:fill="F2F2F2" w:val="clear"/>
          </w:tcPr>
          <w:p>
            <w:r>
              <w:t xml:space="preserve">OTP verification, ID cards, GPS tracking, 100% insurance, bank vault storage</w:t>
            </w:r>
          </w:p>
        </w:tc>
      </w:tr>
      <w:tr>
        <w:tc>
          <w:tcPr>
            <w:tcW w:type="dxa" w:w="3120"/>
            <w:tcBorders>
              <w:top w:val="single" w:color="CCCCCC" w:sz="1"/>
              <w:left w:val="single" w:color="CCCCCC" w:sz="1"/>
              <w:bottom w:val="single" w:color="CCCCCC" w:sz="1"/>
              <w:right w:val="single" w:color="CCCCCC" w:sz="1"/>
            </w:tcBorders>
          </w:tcPr>
          <w:p>
            <w:r>
              <w:rPr>
                <w:b/>
                <w:bCs/>
              </w:rPr>
              <w:t xml:space="preserve">Scaling Strategy</w:t>
            </w:r>
          </w:p>
        </w:tc>
        <w:tc>
          <w:tcPr>
            <w:tcW w:type="dxa" w:w="6240"/>
            <w:tcBorders>
              <w:top w:val="single" w:color="CCCCCC" w:sz="1"/>
              <w:left w:val="single" w:color="CCCCCC" w:sz="1"/>
              <w:bottom w:val="single" w:color="CCCCCC" w:sz="1"/>
              <w:right w:val="single" w:color="CCCCCC" w:sz="1"/>
            </w:tcBorders>
          </w:tcPr>
          <w:p>
            <w:r>
              <w:t xml:space="preserve">Pilot in metros → Phased city expansion → Pan-India (leveraging existing branches)</w:t>
            </w:r>
          </w:p>
        </w:tc>
      </w:tr>
    </w:tbl>
    <w:p>
      <w:r>
        <w:br w:type="page"/>
      </w:r>
    </w:p>
    <w:p>
      <w:pPr>
        <w:pStyle w:val="Heading1"/>
      </w:pPr>
      <w:r>
        <w:t xml:space="preserve">Manappuram Finance: Deep Dive</w:t>
      </w:r>
    </w:p>
    <w:p>
      <w:pPr>
        <w:pStyle w:val="Heading2"/>
      </w:pPr>
      <w:r>
        <w:t xml:space="preserve">Company Overview &amp; Digital Journey</w:t>
      </w:r>
    </w:p>
    <w:p>
      <w:pPr>
        <w:spacing w:after="200"/>
      </w:pPr>
      <w:r>
        <w:t xml:space="preserve">Manappuram Finance, founded in 1949 in Kerala and incorporated in 1992, pioneered the corporate gold loan business in India. Under V.P. Nandakumar's leadership, the company grew to 5,300+ branches with 44,000+ employees and ₹31,000+ crore AUM. The company was the </w:t>
      </w:r>
      <w:r>
        <w:rPr>
          <w:b/>
          <w:bCs/>
        </w:rPr>
        <w:t xml:space="preserve">first gold loan NBFC to launch Online Gold Loan (OGL) in October 2015</w:t>
      </w:r>
      <w:r>
        <w:t xml:space="preserve">—well before any competitor, including Rupeek.</w:t>
      </w:r>
    </w:p>
    <w:p>
      <w:pPr>
        <w:pStyle w:val="Heading2"/>
      </w:pPr>
      <w:r>
        <w:t xml:space="preserve">Online Gold Loan (OGL): The Foundation</w:t>
      </w:r>
    </w:p>
    <w:p>
      <w:pPr>
        <w:pStyle w:val="Heading3"/>
      </w:pPr>
      <w:r>
        <w:t xml:space="preserve">Concept &amp; Innovation (2015)</w:t>
      </w:r>
    </w:p>
    <w:p>
      <w:pPr>
        <w:spacing w:after="150"/>
      </w:pPr>
      <w:r>
        <w:t xml:space="preserve">OGL was built on the foundation of a bank overdraft facility but customized for gold loans. The revolutionary concept allowed customers to:</w:t>
      </w:r>
    </w:p>
    <w:p>
      <w:pPr>
        <w:pStyle w:val="ListParagraph"/>
        <w:numPr>
          <w:ilvl w:val="0"/>
          <w:numId w:val="3"/>
        </w:numPr>
      </w:pPr>
      <w:r>
        <w:t xml:space="preserve">Visit branch ONCE to deposit gold and complete documentation</w:t>
      </w:r>
    </w:p>
    <w:p>
      <w:pPr>
        <w:pStyle w:val="ListParagraph"/>
        <w:numPr>
          <w:ilvl w:val="0"/>
          <w:numId w:val="3"/>
        </w:numPr>
      </w:pPr>
      <w:r>
        <w:t xml:space="preserve">Subsequently avail loans 24x7 from anywhere globally via app or website</w:t>
      </w:r>
    </w:p>
    <w:p>
      <w:pPr>
        <w:pStyle w:val="ListParagraph"/>
        <w:numPr>
          <w:ilvl w:val="0"/>
          <w:numId w:val="3"/>
        </w:numPr>
      </w:pPr>
      <w:r>
        <w:t xml:space="preserve">Receive instant disbursement via IMPS to registered bank account</w:t>
      </w:r>
    </w:p>
    <w:p>
      <w:pPr>
        <w:pStyle w:val="ListParagraph"/>
        <w:numPr>
          <w:ilvl w:val="0"/>
          <w:numId w:val="3"/>
        </w:numPr>
      </w:pPr>
      <w:r>
        <w:t xml:space="preserve">Keep gold in 'safelock' mode even after repayment for future loans</w:t>
      </w:r>
    </w:p>
    <w:p>
      <w:pPr>
        <w:pStyle w:val="ListParagraph"/>
        <w:numPr>
          <w:ilvl w:val="0"/>
          <w:numId w:val="3"/>
        </w:numPr>
      </w:pPr>
      <w:r>
        <w:t xml:space="preserve">Renew loans indefinitely by settling interest and resetting principal</w:t>
      </w:r>
    </w:p>
    <w:p>
      <w:pPr>
        <w:pStyle w:val="Heading3"/>
      </w:pPr>
      <w:r>
        <w:t xml:space="preserve">Technical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Implementation Details</w:t>
            </w:r>
          </w:p>
        </w:tc>
      </w:tr>
      <w:tr>
        <w:tc>
          <w:tcPr>
            <w:tcW w:type="dxa" w:w="3120"/>
            <w:tcBorders>
              <w:top w:val="single" w:color="CCCCCC" w:sz="1"/>
              <w:left w:val="single" w:color="CCCCCC" w:sz="1"/>
              <w:bottom w:val="single" w:color="CCCCCC" w:sz="1"/>
              <w:right w:val="single" w:color="CCCCCC" w:sz="1"/>
            </w:tcBorders>
          </w:tcPr>
          <w:p>
            <w:r>
              <w:rPr>
                <w:b/>
                <w:bCs/>
              </w:rPr>
              <w:t xml:space="preserve">Disbursement</w:t>
            </w:r>
          </w:p>
        </w:tc>
        <w:tc>
          <w:tcPr>
            <w:tcW w:type="dxa" w:w="6240"/>
            <w:tcBorders>
              <w:top w:val="single" w:color="CCCCCC" w:sz="1"/>
              <w:left w:val="single" w:color="CCCCCC" w:sz="1"/>
              <w:bottom w:val="single" w:color="CCCCCC" w:sz="1"/>
              <w:right w:val="single" w:color="CCCCCC" w:sz="1"/>
            </w:tcBorders>
          </w:tcPr>
          <w:p>
            <w:r>
              <w:t xml:space="preserve">24x7 via IMPS (National Payments Corporation of India); tie-ups with leading banks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Authentication</w:t>
            </w:r>
          </w:p>
        </w:tc>
        <w:tc>
          <w:tcPr>
            <w:tcW w:type="dxa" w:w="6240"/>
            <w:tcBorders>
              <w:top w:val="single" w:color="CCCCCC" w:sz="1"/>
              <w:left w:val="single" w:color="CCCCCC" w:sz="1"/>
              <w:bottom w:val="single" w:color="CCCCCC" w:sz="1"/>
              <w:right w:val="single" w:color="CCCCCC" w:sz="1"/>
            </w:tcBorders>
            <w:shd w:fill="F2F2F2" w:val="clear"/>
          </w:tcPr>
          <w:p>
            <w:r>
              <w:t xml:space="preserve">OTP sent to registered mobile; digital signature via OTP confirmation; IP address logging</w:t>
            </w:r>
          </w:p>
        </w:tc>
      </w:tr>
      <w:tr>
        <w:tc>
          <w:tcPr>
            <w:tcW w:type="dxa" w:w="3120"/>
            <w:tcBorders>
              <w:top w:val="single" w:color="CCCCCC" w:sz="1"/>
              <w:left w:val="single" w:color="CCCCCC" w:sz="1"/>
              <w:bottom w:val="single" w:color="CCCCCC" w:sz="1"/>
              <w:right w:val="single" w:color="CCCCCC" w:sz="1"/>
            </w:tcBorders>
          </w:tcPr>
          <w:p>
            <w:r>
              <w:rPr>
                <w:b/>
                <w:bCs/>
              </w:rPr>
              <w:t xml:space="preserve">Documentation</w:t>
            </w:r>
          </w:p>
        </w:tc>
        <w:tc>
          <w:tcPr>
            <w:tcW w:type="dxa" w:w="6240"/>
            <w:tcBorders>
              <w:top w:val="single" w:color="CCCCCC" w:sz="1"/>
              <w:left w:val="single" w:color="CCCCCC" w:sz="1"/>
              <w:bottom w:val="single" w:color="CCCCCC" w:sz="1"/>
              <w:right w:val="single" w:color="CCCCCC" w:sz="1"/>
            </w:tcBorders>
          </w:tcPr>
          <w:p>
            <w:r>
              <w:t xml:space="preserve">OGL Pawn Ticket (digital); photos of customer and ornaments; terms &amp; conditions; date/time/IP stamp</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Loan Limit</w:t>
            </w:r>
          </w:p>
        </w:tc>
        <w:tc>
          <w:tcPr>
            <w:tcW w:type="dxa" w:w="6240"/>
            <w:tcBorders>
              <w:top w:val="single" w:color="CCCCCC" w:sz="1"/>
              <w:left w:val="single" w:color="CCCCCC" w:sz="1"/>
              <w:bottom w:val="single" w:color="CCCCCC" w:sz="1"/>
              <w:right w:val="single" w:color="CCCCCC" w:sz="1"/>
            </w:tcBorders>
            <w:shd w:fill="F2F2F2" w:val="clear"/>
          </w:tcPr>
          <w:p>
            <w:r>
              <w:t xml:space="preserve">Up to ₹1.5 crore; based on pledged gold value and chosen scheme; one active loan at a time</w:t>
            </w:r>
          </w:p>
        </w:tc>
      </w:tr>
      <w:tr>
        <w:tc>
          <w:tcPr>
            <w:tcW w:type="dxa" w:w="3120"/>
            <w:tcBorders>
              <w:top w:val="single" w:color="CCCCCC" w:sz="1"/>
              <w:left w:val="single" w:color="CCCCCC" w:sz="1"/>
              <w:bottom w:val="single" w:color="CCCCCC" w:sz="1"/>
              <w:right w:val="single" w:color="CCCCCC" w:sz="1"/>
            </w:tcBorders>
          </w:tcPr>
          <w:p>
            <w:r>
              <w:rPr>
                <w:b/>
                <w:bCs/>
              </w:rPr>
              <w:t xml:space="preserve">Channels</w:t>
            </w:r>
          </w:p>
        </w:tc>
        <w:tc>
          <w:tcPr>
            <w:tcW w:type="dxa" w:w="6240"/>
            <w:tcBorders>
              <w:top w:val="single" w:color="CCCCCC" w:sz="1"/>
              <w:left w:val="single" w:color="CCCCCC" w:sz="1"/>
              <w:bottom w:val="single" w:color="CCCCCC" w:sz="1"/>
              <w:right w:val="single" w:color="CCCCCC" w:sz="1"/>
            </w:tcBorders>
          </w:tcPr>
          <w:p>
            <w:r>
              <w:t xml:space="preserve">OGL Mobile App, Web Portal, SMS-based Gold Loan (SGL) for non-internet users</w:t>
            </w:r>
          </w:p>
        </w:tc>
      </w:tr>
    </w:tbl>
    <w:p>
      <w:pPr>
        <w:pStyle w:val="Heading2"/>
      </w:pPr>
      <w:r>
        <w:t xml:space="preserve">Doorstep Gold Loan: COVID Acceleration</w:t>
      </w:r>
    </w:p>
    <w:p>
      <w:pPr>
        <w:pStyle w:val="Heading3"/>
      </w:pPr>
      <w:r>
        <w:t xml:space="preserve">Pre-COVID Pilot (2018-2019)</w:t>
      </w:r>
    </w:p>
    <w:p>
      <w:pPr>
        <w:spacing w:after="150"/>
      </w:pPr>
      <w:r>
        <w:t xml:space="preserve">Manappuram launched doorstep gold loan service </w:t>
      </w:r>
      <w:r>
        <w:rPr>
          <w:b/>
          <w:bCs/>
        </w:rPr>
        <w:t xml:space="preserve">before COVID</w:t>
      </w:r>
      <w:r>
        <w:t xml:space="preserve">, starting with a structured pilot program:</w:t>
      </w:r>
    </w:p>
    <w:p>
      <w:pPr>
        <w:pStyle w:val="ListParagraph"/>
        <w:numPr>
          <w:ilvl w:val="0"/>
          <w:numId w:val="4"/>
        </w:numPr>
      </w:pPr>
      <w:r>
        <w:rPr>
          <w:b/>
          <w:bCs/>
        </w:rPr>
        <w:t xml:space="preserve">Bangalore Pilot: </w:t>
      </w:r>
      <w:r>
        <w:t xml:space="preserve">Initially 5 branches, expanded to 100 branches (including one 24x7 branch)</w:t>
      </w:r>
    </w:p>
    <w:p>
      <w:pPr>
        <w:pStyle w:val="ListParagraph"/>
        <w:numPr>
          <w:ilvl w:val="0"/>
          <w:numId w:val="4"/>
        </w:numPr>
      </w:pPr>
      <w:r>
        <w:rPr>
          <w:b/>
          <w:bCs/>
        </w:rPr>
        <w:t xml:space="preserve">Chennai Expansion: </w:t>
      </w:r>
      <w:r>
        <w:t xml:space="preserve">107 branches offering doorstep service</w:t>
      </w:r>
    </w:p>
    <w:p>
      <w:pPr>
        <w:pStyle w:val="ListParagraph"/>
        <w:numPr>
          <w:ilvl w:val="0"/>
          <w:numId w:val="4"/>
        </w:numPr>
      </w:pPr>
      <w:r>
        <w:rPr>
          <w:b/>
          <w:bCs/>
        </w:rPr>
        <w:t xml:space="preserve">Delhi &amp; Mumbai (March 2019): </w:t>
      </w:r>
      <w:r>
        <w:t xml:space="preserve">50 branches each; dedicated helplines (9072606215 Mumbai, 9072606202 Delhi)</w:t>
      </w:r>
    </w:p>
    <w:p>
      <w:pPr>
        <w:pStyle w:val="Heading3"/>
      </w:pPr>
      <w:r>
        <w:t xml:space="preserve">COVID-Era Acceleration (2020-2021)</w:t>
      </w:r>
    </w:p>
    <w:p>
      <w:pPr>
        <w:spacing w:after="150"/>
      </w:pPr>
      <w:r>
        <w:t xml:space="preserve">When COVID-19 struck, Manappuram was already prepared. As V.P. Nandakumar noted: </w:t>
      </w:r>
      <w:r>
        <w:rPr>
          <w:i/>
          <w:iCs/>
        </w:rPr>
        <w:t xml:space="preserve">"Within a few days of the lockdown announcement, we succeeded in extending work from home facilities to almost all our employees. This became possible only because of the technology initiatives we have been implementing over the last four or five years."</w:t>
      </w:r>
    </w:p>
    <w:p>
      <w:pPr>
        <w:spacing w:after="100"/>
      </w:pPr>
      <w:r>
        <w:rPr>
          <w:b/>
          <w:bCs/>
        </w:rPr>
        <w:t xml:space="preserve">Digital Transformation Metrics:</w:t>
      </w:r>
    </w:p>
    <w:p>
      <w:pPr>
        <w:pStyle w:val="ListParagraph"/>
        <w:numPr>
          <w:ilvl w:val="0"/>
          <w:numId w:val="3"/>
        </w:numPr>
      </w:pPr>
      <w:r>
        <w:t xml:space="preserve">Digital collections: 35% (FY20) → 54% (FY21) — 19 percentage point increase in one year</w:t>
      </w:r>
    </w:p>
    <w:p>
      <w:pPr>
        <w:pStyle w:val="ListParagraph"/>
        <w:numPr>
          <w:ilvl w:val="0"/>
          <w:numId w:val="3"/>
        </w:numPr>
      </w:pPr>
      <w:r>
        <w:t xml:space="preserve">OGL adoption: "Relatively slow" pre-pandemic → "Marked pick-up" after COVID struck</w:t>
      </w:r>
    </w:p>
    <w:p>
      <w:pPr>
        <w:pStyle w:val="ListParagraph"/>
        <w:numPr>
          <w:ilvl w:val="0"/>
          <w:numId w:val="3"/>
        </w:numPr>
      </w:pPr>
      <w:r>
        <w:t xml:space="preserve">Pan-India doorstep service: Expanded from 4 cities to nationwide availability via mobile app</w:t>
      </w:r>
    </w:p>
    <w:p>
      <w:pPr>
        <w:pStyle w:val="ListParagraph"/>
        <w:numPr>
          <w:ilvl w:val="0"/>
          <w:numId w:val="3"/>
        </w:numPr>
      </w:pPr>
      <w:r>
        <w:t xml:space="preserve">AUM: Grew 7.92% to ₹272.24 billion (FY21); Net profit up 16.53% to ₹17,249.5 million</w:t>
      </w:r>
    </w:p>
    <w:p>
      <w:r>
        <w:br w:type="page"/>
      </w:r>
    </w:p>
    <w:p>
      <w:pPr>
        <w:pStyle w:val="Heading2"/>
      </w:pPr>
      <w:r>
        <w:t xml:space="preserve">Gold Purity Testing: Manappuram Process</w:t>
      </w:r>
    </w:p>
    <w:p>
      <w:pPr>
        <w:pStyle w:val="Heading3"/>
      </w:pPr>
      <w:r>
        <w:t xml:space="preserve">Branch-Based Testing (Standard Process)</w:t>
      </w:r>
    </w:p>
    <w:p>
      <w:pPr>
        <w:spacing w:after="150"/>
      </w:pPr>
      <w:r>
        <w:t xml:space="preserve">For OGL customers who visit the branch once:</w:t>
      </w:r>
    </w:p>
    <w:p>
      <w:pPr>
        <w:pStyle w:val="ListParagraph"/>
        <w:numPr>
          <w:ilvl w:val="0"/>
          <w:numId w:val="3"/>
        </w:numPr>
      </w:pPr>
      <w:r>
        <w:t xml:space="preserve">Gold weighed and tested for purity in customer's presence</w:t>
      </w:r>
    </w:p>
    <w:p>
      <w:pPr>
        <w:pStyle w:val="ListParagraph"/>
        <w:numPr>
          <w:ilvl w:val="0"/>
          <w:numId w:val="3"/>
        </w:numPr>
      </w:pPr>
      <w:r>
        <w:t xml:space="preserve">Purity range accepted: 18 to 24 karat</w:t>
      </w:r>
    </w:p>
    <w:p>
      <w:pPr>
        <w:pStyle w:val="ListParagraph"/>
        <w:numPr>
          <w:ilvl w:val="0"/>
          <w:numId w:val="3"/>
        </w:numPr>
      </w:pPr>
      <w:r>
        <w:t xml:space="preserve">Loan amount calculated based on purity, weight, and current market rates</w:t>
      </w:r>
    </w:p>
    <w:p>
      <w:pPr>
        <w:pStyle w:val="ListParagraph"/>
        <w:numPr>
          <w:ilvl w:val="0"/>
          <w:numId w:val="3"/>
        </w:numPr>
      </w:pPr>
      <w:r>
        <w:t xml:space="preserve">LTV up to 75% as per RBI norms</w:t>
      </w:r>
    </w:p>
    <w:p>
      <w:pPr>
        <w:pStyle w:val="ListParagraph"/>
        <w:numPr>
          <w:ilvl w:val="0"/>
          <w:numId w:val="3"/>
        </w:numPr>
      </w:pPr>
      <w:r>
        <w:t xml:space="preserve">Gold stored in secure vault; free insurance provided</w:t>
      </w:r>
    </w:p>
    <w:p>
      <w:pPr>
        <w:pStyle w:val="Heading3"/>
      </w:pPr>
      <w:r>
        <w:t xml:space="preserve">Doorstep Testing Process</w:t>
      </w:r>
    </w:p>
    <w:p>
      <w:pPr>
        <w:spacing w:after="150"/>
      </w:pPr>
      <w:r>
        <w:t xml:space="preserve">For doorstep gold loans, the process is:</w:t>
      </w:r>
    </w:p>
    <w:p>
      <w:pPr>
        <w:pStyle w:val="ListParagraph"/>
        <w:numPr>
          <w:ilvl w:val="0"/>
          <w:numId w:val="3"/>
        </w:numPr>
      </w:pPr>
      <w:r>
        <w:rPr>
          <w:b/>
          <w:bCs/>
        </w:rPr>
        <w:t xml:space="preserve">Appointment Booking: </w:t>
      </w:r>
      <w:r>
        <w:t xml:space="preserve">Customer calls toll-free number or books via mobile app</w:t>
      </w:r>
    </w:p>
    <w:p>
      <w:pPr>
        <w:pStyle w:val="ListParagraph"/>
        <w:numPr>
          <w:ilvl w:val="0"/>
          <w:numId w:val="3"/>
        </w:numPr>
      </w:pPr>
      <w:r>
        <w:rPr>
          <w:b/>
          <w:bCs/>
        </w:rPr>
        <w:t xml:space="preserve">Executive Visit: </w:t>
      </w:r>
      <w:r>
        <w:t xml:space="preserve">Authorized service executive visits customer's residence</w:t>
      </w:r>
    </w:p>
    <w:p>
      <w:pPr>
        <w:pStyle w:val="ListParagraph"/>
        <w:numPr>
          <w:ilvl w:val="0"/>
          <w:numId w:val="3"/>
        </w:numPr>
      </w:pPr>
      <w:r>
        <w:rPr>
          <w:b/>
          <w:bCs/>
        </w:rPr>
        <w:t xml:space="preserve">Gold Appraisal: </w:t>
      </w:r>
      <w:r>
        <w:t xml:space="preserve">Gold appraisal done at residence using portable testing equipment</w:t>
      </w:r>
    </w:p>
    <w:p>
      <w:pPr>
        <w:pStyle w:val="ListParagraph"/>
        <w:numPr>
          <w:ilvl w:val="0"/>
          <w:numId w:val="3"/>
        </w:numPr>
      </w:pPr>
      <w:r>
        <w:rPr>
          <w:b/>
          <w:bCs/>
        </w:rPr>
        <w:t xml:space="preserve">Instant Disbursement: </w:t>
      </w:r>
      <w:r>
        <w:t xml:space="preserve">Loan amount transferred via IMPS/NEFT within 30 minutes</w:t>
      </w:r>
    </w:p>
    <w:p>
      <w:pPr>
        <w:pStyle w:val="ListParagraph"/>
        <w:numPr>
          <w:ilvl w:val="0"/>
          <w:numId w:val="3"/>
        </w:numPr>
      </w:pPr>
      <w:r>
        <w:rPr>
          <w:b/>
          <w:bCs/>
        </w:rPr>
        <w:t xml:space="preserve">Gold Transport: </w:t>
      </w:r>
      <w:r>
        <w:t xml:space="preserve">Gold securely transported to nearest branch vault</w:t>
      </w:r>
    </w:p>
    <w:p>
      <w:pPr>
        <w:pStyle w:val="Heading3"/>
      </w:pPr>
      <w:r>
        <w:t xml:space="preserve">Testing Equipment for Doorstep Service</w:t>
      </w:r>
    </w:p>
    <w:p>
      <w:pPr>
        <w:spacing w:after="150"/>
      </w:pPr>
      <w:r>
        <w:t xml:space="preserve">Field executives use:</w:t>
      </w:r>
    </w:p>
    <w:p>
      <w:pPr>
        <w:pStyle w:val="ListParagraph"/>
        <w:numPr>
          <w:ilvl w:val="0"/>
          <w:numId w:val="3"/>
        </w:numPr>
      </w:pPr>
      <w:r>
        <w:rPr>
          <w:b/>
          <w:bCs/>
        </w:rPr>
        <w:t xml:space="preserve">Portable Karat Meters: </w:t>
      </w:r>
      <w:r>
        <w:t xml:space="preserve">Compact devices that can quickly determine gold purity (18-24 karat range)</w:t>
      </w:r>
    </w:p>
    <w:p>
      <w:pPr>
        <w:pStyle w:val="ListParagraph"/>
        <w:numPr>
          <w:ilvl w:val="0"/>
          <w:numId w:val="3"/>
        </w:numPr>
      </w:pPr>
      <w:r>
        <w:rPr>
          <w:b/>
          <w:bCs/>
        </w:rPr>
        <w:t xml:space="preserve">Digital Weighing Scales: </w:t>
      </w:r>
      <w:r>
        <w:t xml:space="preserve">Precision scales for accurate weight measurement</w:t>
      </w:r>
    </w:p>
    <w:p>
      <w:pPr>
        <w:pStyle w:val="ListParagraph"/>
        <w:numPr>
          <w:ilvl w:val="0"/>
          <w:numId w:val="3"/>
        </w:numPr>
      </w:pPr>
      <w:r>
        <w:rPr>
          <w:b/>
          <w:bCs/>
        </w:rPr>
        <w:t xml:space="preserve">Mobile Devices: </w:t>
      </w:r>
      <w:r>
        <w:t xml:space="preserve">For documentation, photo capture, and real-time loan processing</w:t>
      </w:r>
    </w:p>
    <w:p>
      <w:pPr>
        <w:spacing w:before="200" w:after="150"/>
      </w:pPr>
      <w:r>
        <w:rPr>
          <w:b/>
          <w:bCs/>
          <w:color w:val="C00000"/>
        </w:rPr>
        <w:t xml:space="preserve">Important Note: </w:t>
      </w:r>
      <w:r>
        <w:t xml:space="preserve">The full valuation and storage happen at the branch. The doorstep testing provides an initial assessment; final verification occurs when gold reaches the branch vault. This is why disbursement can happen quickly—the field test is for customer convenience, with branch verification providing the security backstop.</w:t>
      </w:r>
    </w:p>
    <w:p>
      <w:r>
        <w:br w:type="page"/>
      </w:r>
    </w:p>
    <w:p>
      <w:pPr>
        <w:pStyle w:val="Heading2"/>
      </w:pPr>
      <w:r>
        <w:t xml:space="preserve">Trust Building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Trust Element</w:t>
            </w:r>
          </w:p>
        </w:tc>
        <w:tc>
          <w:tcPr>
            <w:tcW w:type="dxa" w:w="65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Implementation</w:t>
            </w:r>
          </w:p>
        </w:tc>
      </w:tr>
      <w:tr>
        <w:tc>
          <w:tcPr>
            <w:tcW w:type="dxa" w:w="2800"/>
            <w:tcBorders>
              <w:top w:val="single" w:color="CCCCCC" w:sz="1"/>
              <w:left w:val="single" w:color="CCCCCC" w:sz="1"/>
              <w:bottom w:val="single" w:color="CCCCCC" w:sz="1"/>
              <w:right w:val="single" w:color="CCCCCC" w:sz="1"/>
            </w:tcBorders>
          </w:tcPr>
          <w:p>
            <w:r>
              <w:rPr>
                <w:b/>
                <w:bCs/>
              </w:rPr>
              <w:t xml:space="preserve">Brand Legacy</w:t>
            </w:r>
          </w:p>
        </w:tc>
        <w:tc>
          <w:tcPr>
            <w:tcW w:type="dxa" w:w="6560"/>
            <w:tcBorders>
              <w:top w:val="single" w:color="CCCCCC" w:sz="1"/>
              <w:left w:val="single" w:color="CCCCCC" w:sz="1"/>
              <w:bottom w:val="single" w:color="CCCCCC" w:sz="1"/>
              <w:right w:val="single" w:color="CCCCCC" w:sz="1"/>
            </w:tcBorders>
          </w:tcPr>
          <w:p>
            <w:r>
              <w:t xml:space="preserve">75+ year history (since 1949); 5,300+ branches across 28 states; trusted name in Kerala and South India</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Insurance Coverage</w:t>
            </w:r>
          </w:p>
        </w:tc>
        <w:tc>
          <w:tcPr>
            <w:tcW w:type="dxa" w:w="6560"/>
            <w:tcBorders>
              <w:top w:val="single" w:color="CCCCCC" w:sz="1"/>
              <w:left w:val="single" w:color="CCCCCC" w:sz="1"/>
              <w:bottom w:val="single" w:color="CCCCCC" w:sz="1"/>
              <w:right w:val="single" w:color="CCCCCC" w:sz="1"/>
            </w:tcBorders>
            <w:shd w:fill="F2F2F2" w:val="clear"/>
          </w:tcPr>
          <w:p>
            <w:r>
              <w:t xml:space="preserve">100% free insurance on pledged gold; covers transit and storage; no additional cost to customer</w:t>
            </w:r>
          </w:p>
        </w:tc>
      </w:tr>
      <w:tr>
        <w:tc>
          <w:tcPr>
            <w:tcW w:type="dxa" w:w="2800"/>
            <w:tcBorders>
              <w:top w:val="single" w:color="CCCCCC" w:sz="1"/>
              <w:left w:val="single" w:color="CCCCCC" w:sz="1"/>
              <w:bottom w:val="single" w:color="CCCCCC" w:sz="1"/>
              <w:right w:val="single" w:color="CCCCCC" w:sz="1"/>
            </w:tcBorders>
          </w:tcPr>
          <w:p>
            <w:r>
              <w:rPr>
                <w:b/>
                <w:bCs/>
              </w:rPr>
              <w:t xml:space="preserve">Secure Storage</w:t>
            </w:r>
          </w:p>
        </w:tc>
        <w:tc>
          <w:tcPr>
            <w:tcW w:type="dxa" w:w="6560"/>
            <w:tcBorders>
              <w:top w:val="single" w:color="CCCCCC" w:sz="1"/>
              <w:left w:val="single" w:color="CCCCCC" w:sz="1"/>
              <w:bottom w:val="single" w:color="CCCCCC" w:sz="1"/>
              <w:right w:val="single" w:color="CCCCCC" w:sz="1"/>
            </w:tcBorders>
          </w:tcPr>
          <w:p>
            <w:r>
              <w:t xml:space="preserve">Gold stored in 'Safelock' at nearest branch vault; secure facilities with 24x7 surveillance</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Transparency</w:t>
            </w:r>
          </w:p>
        </w:tc>
        <w:tc>
          <w:tcPr>
            <w:tcW w:type="dxa" w:w="6560"/>
            <w:tcBorders>
              <w:top w:val="single" w:color="CCCCCC" w:sz="1"/>
              <w:left w:val="single" w:color="CCCCCC" w:sz="1"/>
              <w:bottom w:val="single" w:color="CCCCCC" w:sz="1"/>
              <w:right w:val="single" w:color="CCCCCC" w:sz="1"/>
            </w:tcBorders>
            <w:shd w:fill="F2F2F2" w:val="clear"/>
          </w:tcPr>
          <w:p>
            <w:r>
              <w:t xml:space="preserve">No hidden charges; real-time valuation in customer's presence; OGL Pawn Ticket with photos</w:t>
            </w:r>
          </w:p>
        </w:tc>
      </w:tr>
      <w:tr>
        <w:tc>
          <w:tcPr>
            <w:tcW w:type="dxa" w:w="2800"/>
            <w:tcBorders>
              <w:top w:val="single" w:color="CCCCCC" w:sz="1"/>
              <w:left w:val="single" w:color="CCCCCC" w:sz="1"/>
              <w:bottom w:val="single" w:color="CCCCCC" w:sz="1"/>
              <w:right w:val="single" w:color="CCCCCC" w:sz="1"/>
            </w:tcBorders>
          </w:tcPr>
          <w:p>
            <w:r>
              <w:rPr>
                <w:b/>
                <w:bCs/>
              </w:rPr>
              <w:t xml:space="preserve">Documentation</w:t>
            </w:r>
          </w:p>
        </w:tc>
        <w:tc>
          <w:tcPr>
            <w:tcW w:type="dxa" w:w="6560"/>
            <w:tcBorders>
              <w:top w:val="single" w:color="CCCCCC" w:sz="1"/>
              <w:left w:val="single" w:color="CCCCCC" w:sz="1"/>
              <w:bottom w:val="single" w:color="CCCCCC" w:sz="1"/>
              <w:right w:val="single" w:color="CCCCCC" w:sz="1"/>
            </w:tcBorders>
          </w:tcPr>
          <w:p>
            <w:r>
              <w:t xml:space="preserve">Digital OGL Pawn Ticket with: loan terms, gold photos, date/time stamp, IP address, OTP confirmation</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Executive Verification</w:t>
            </w:r>
          </w:p>
        </w:tc>
        <w:tc>
          <w:tcPr>
            <w:tcW w:type="dxa" w:w="6560"/>
            <w:tcBorders>
              <w:top w:val="single" w:color="CCCCCC" w:sz="1"/>
              <w:left w:val="single" w:color="CCCCCC" w:sz="1"/>
              <w:bottom w:val="single" w:color="CCCCCC" w:sz="1"/>
              <w:right w:val="single" w:color="CCCCCC" w:sz="1"/>
            </w:tcBorders>
            <w:shd w:fill="F2F2F2" w:val="clear"/>
          </w:tcPr>
          <w:p>
            <w:r>
              <w:t xml:space="preserve">Authorized service executives with ID cards; can be verified via branch contact</w:t>
            </w:r>
          </w:p>
        </w:tc>
      </w:tr>
    </w:tbl>
    <w:p>
      <w:r>
        <w:br w:type="page"/>
      </w:r>
    </w:p>
    <w:p>
      <w:pPr>
        <w:pStyle w:val="Heading1"/>
      </w:pPr>
      <w:r>
        <w:t xml:space="preserve">IIFL Finance: Deep Dive</w:t>
      </w:r>
    </w:p>
    <w:p>
      <w:pPr>
        <w:pStyle w:val="Heading2"/>
      </w:pPr>
      <w:r>
        <w:t xml:space="preserve">Company Overview &amp; Digital Vision</w:t>
      </w:r>
    </w:p>
    <w:p>
      <w:pPr>
        <w:spacing w:after="200"/>
      </w:pPr>
      <w:r>
        <w:t xml:space="preserve">IIFL Finance (India Infoline Finance Limited) is one of India's largest retail-focused diversified NBFCs with 2,700+ branches across 500+ cities. The company's AUM grew to ₹51,210 crore as of March 2022 despite COVID challenges, with 94% of loans to retail customers. IIFL adopted a </w:t>
      </w:r>
      <w:r>
        <w:rPr>
          <w:b/>
          <w:bCs/>
        </w:rPr>
        <w:t xml:space="preserve">"Seedhi Baat" (Straight Talk)</w:t>
      </w:r>
      <w:r>
        <w:t xml:space="preserve"> approach emphasizing honesty, transparency, and simplified processes.</w:t>
      </w:r>
    </w:p>
    <w:p>
      <w:pPr>
        <w:pStyle w:val="Heading2"/>
      </w:pPr>
      <w:r>
        <w:t xml:space="preserve">Digital Gold Loan: COVID Response</w:t>
      </w:r>
    </w:p>
    <w:p>
      <w:pPr>
        <w:pStyle w:val="Heading3"/>
      </w:pPr>
      <w:r>
        <w:t xml:space="preserve">Launch Context (December 2020)</w:t>
      </w:r>
    </w:p>
    <w:p>
      <w:pPr>
        <w:spacing w:after="150"/>
      </w:pPr>
      <w:r>
        <w:t xml:space="preserve">IIFL launched its Digital Gold Loan product specifically in response to COVID-19. As Saurabh Kumar, Business Head-Gold Loan stated: </w:t>
      </w:r>
      <w:r>
        <w:rPr>
          <w:i/>
          <w:iCs/>
        </w:rPr>
        <w:t xml:space="preserve">"We understood the constraints people were facing in moving out of their homes because of the restrictions and the fear of contracting Corona."</w:t>
      </w:r>
    </w:p>
    <w:p>
      <w:pPr>
        <w:pStyle w:val="Heading3"/>
      </w:pPr>
      <w:r>
        <w:t xml:space="preserve">Money@Home Scheme</w:t>
      </w:r>
    </w:p>
    <w:p>
      <w:pPr>
        <w:spacing w:after="150"/>
      </w:pPr>
      <w:r>
        <w:t xml:space="preserve">IIFL's flagship doorstep product, digitizing the entire gold loan journey: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Step</w:t>
            </w:r>
          </w:p>
        </w:tc>
        <w:tc>
          <w:tcPr>
            <w:tcW w:type="dxa" w:w="78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Process Details</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1</w:t>
            </w:r>
          </w:p>
        </w:tc>
        <w:tc>
          <w:tcPr>
            <w:tcW w:type="dxa" w:w="7800"/>
            <w:tcBorders>
              <w:top w:val="single" w:color="CCCCCC" w:sz="1"/>
              <w:left w:val="single" w:color="CCCCCC" w:sz="1"/>
              <w:bottom w:val="single" w:color="CCCCCC" w:sz="1"/>
              <w:right w:val="single" w:color="CCCCCC" w:sz="1"/>
            </w:tcBorders>
          </w:tcPr>
          <w:p>
            <w:r>
              <w:rPr>
                <w:b/>
                <w:bCs/>
              </w:rPr>
              <w:t xml:space="preserve">Online Application: </w:t>
            </w:r>
            <w:r>
              <w:t xml:space="preserve">Customer fills form on IIFL website or app with basic details</w:t>
            </w:r>
          </w:p>
        </w:tc>
      </w:tr>
      <w:tr>
        <w:tc>
          <w:tcPr>
            <w:tcW w:type="dxa" w:w="1560"/>
            <w:tcBorders>
              <w:top w:val="single" w:color="CCCCCC" w:sz="1"/>
              <w:left w:val="single" w:color="CCCCCC" w:sz="1"/>
              <w:bottom w:val="single" w:color="CCCCCC" w:sz="1"/>
              <w:right w:val="single" w:color="CCCCCC" w:sz="1"/>
            </w:tcBorders>
            <w:shd w:fill="F2F2F2" w:val="clear"/>
          </w:tcPr>
          <w:p>
            <w:pPr>
              <w:jc w:val="center"/>
            </w:pPr>
            <w:r>
              <w:rPr>
                <w:b/>
                <w:bCs/>
              </w:rPr>
              <w:t xml:space="preserve">2</w:t>
            </w:r>
          </w:p>
        </w:tc>
        <w:tc>
          <w:tcPr>
            <w:tcW w:type="dxa" w:w="7800"/>
            <w:tcBorders>
              <w:top w:val="single" w:color="CCCCCC" w:sz="1"/>
              <w:left w:val="single" w:color="CCCCCC" w:sz="1"/>
              <w:bottom w:val="single" w:color="CCCCCC" w:sz="1"/>
              <w:right w:val="single" w:color="CCCCCC" w:sz="1"/>
            </w:tcBorders>
            <w:shd w:fill="F2F2F2" w:val="clear"/>
          </w:tcPr>
          <w:p>
            <w:r>
              <w:rPr>
                <w:b/>
                <w:bCs/>
              </w:rPr>
              <w:t xml:space="preserve">Document Preparation: </w:t>
            </w:r>
            <w:r>
              <w:t xml:space="preserve">Keep identity proof, address proof, and gold ready</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3</w:t>
            </w:r>
          </w:p>
        </w:tc>
        <w:tc>
          <w:tcPr>
            <w:tcW w:type="dxa" w:w="7800"/>
            <w:tcBorders>
              <w:top w:val="single" w:color="CCCCCC" w:sz="1"/>
              <w:left w:val="single" w:color="CCCCCC" w:sz="1"/>
              <w:bottom w:val="single" w:color="CCCCCC" w:sz="1"/>
              <w:right w:val="single" w:color="CCCCCC" w:sz="1"/>
            </w:tcBorders>
          </w:tcPr>
          <w:p>
            <w:r>
              <w:rPr>
                <w:b/>
                <w:bCs/>
              </w:rPr>
              <w:t xml:space="preserve">Representative Visit: </w:t>
            </w:r>
            <w:r>
              <w:t xml:space="preserve">IIFL representative calls and visits customer's address</w:t>
            </w:r>
          </w:p>
        </w:tc>
      </w:tr>
      <w:tr>
        <w:tc>
          <w:tcPr>
            <w:tcW w:type="dxa" w:w="1560"/>
            <w:tcBorders>
              <w:top w:val="single" w:color="CCCCCC" w:sz="1"/>
              <w:left w:val="single" w:color="CCCCCC" w:sz="1"/>
              <w:bottom w:val="single" w:color="CCCCCC" w:sz="1"/>
              <w:right w:val="single" w:color="CCCCCC" w:sz="1"/>
            </w:tcBorders>
            <w:shd w:fill="F2F2F2" w:val="clear"/>
          </w:tcPr>
          <w:p>
            <w:pPr>
              <w:jc w:val="center"/>
            </w:pPr>
            <w:r>
              <w:rPr>
                <w:b/>
                <w:bCs/>
              </w:rPr>
              <w:t xml:space="preserve">4</w:t>
            </w:r>
          </w:p>
        </w:tc>
        <w:tc>
          <w:tcPr>
            <w:tcW w:type="dxa" w:w="7800"/>
            <w:tcBorders>
              <w:top w:val="single" w:color="CCCCCC" w:sz="1"/>
              <w:left w:val="single" w:color="CCCCCC" w:sz="1"/>
              <w:bottom w:val="single" w:color="CCCCCC" w:sz="1"/>
              <w:right w:val="single" w:color="CCCCCC" w:sz="1"/>
            </w:tcBorders>
            <w:shd w:fill="F2F2F2" w:val="clear"/>
          </w:tcPr>
          <w:p>
            <w:r>
              <w:rPr>
                <w:b/>
                <w:bCs/>
              </w:rPr>
              <w:t xml:space="preserve">Gold Valuation: </w:t>
            </w:r>
            <w:r>
              <w:t xml:space="preserve">Uses certified tools (standard karat meters) to weigh jewellery and determine purity</w:t>
            </w:r>
          </w:p>
        </w:tc>
      </w:tr>
      <w:tr>
        <w:tc>
          <w:tcPr>
            <w:tcW w:type="dxa" w:w="1560"/>
            <w:tcBorders>
              <w:top w:val="single" w:color="CCCCCC" w:sz="1"/>
              <w:left w:val="single" w:color="CCCCCC" w:sz="1"/>
              <w:bottom w:val="single" w:color="CCCCCC" w:sz="1"/>
              <w:right w:val="single" w:color="CCCCCC" w:sz="1"/>
            </w:tcBorders>
          </w:tcPr>
          <w:p>
            <w:pPr>
              <w:jc w:val="center"/>
            </w:pPr>
            <w:r>
              <w:rPr>
                <w:b/>
                <w:bCs/>
              </w:rPr>
              <w:t xml:space="preserve">5</w:t>
            </w:r>
          </w:p>
        </w:tc>
        <w:tc>
          <w:tcPr>
            <w:tcW w:type="dxa" w:w="7800"/>
            <w:tcBorders>
              <w:top w:val="single" w:color="CCCCCC" w:sz="1"/>
              <w:left w:val="single" w:color="CCCCCC" w:sz="1"/>
              <w:bottom w:val="single" w:color="CCCCCC" w:sz="1"/>
              <w:right w:val="single" w:color="CCCCCC" w:sz="1"/>
            </w:tcBorders>
          </w:tcPr>
          <w:p>
            <w:r>
              <w:rPr>
                <w:b/>
                <w:bCs/>
              </w:rPr>
              <w:t xml:space="preserve">Loan Offer: </w:t>
            </w:r>
            <w:r>
              <w:t xml:space="preserve">Instant valuation based on 30-day average gold rate; loan amount and interest rate offered</w:t>
            </w:r>
          </w:p>
        </w:tc>
      </w:tr>
      <w:tr>
        <w:tc>
          <w:tcPr>
            <w:tcW w:type="dxa" w:w="1560"/>
            <w:tcBorders>
              <w:top w:val="single" w:color="CCCCCC" w:sz="1"/>
              <w:left w:val="single" w:color="CCCCCC" w:sz="1"/>
              <w:bottom w:val="single" w:color="CCCCCC" w:sz="1"/>
              <w:right w:val="single" w:color="CCCCCC" w:sz="1"/>
            </w:tcBorders>
            <w:shd w:fill="F2F2F2" w:val="clear"/>
          </w:tcPr>
          <w:p>
            <w:pPr>
              <w:jc w:val="center"/>
            </w:pPr>
            <w:r>
              <w:rPr>
                <w:b/>
                <w:bCs/>
              </w:rPr>
              <w:t xml:space="preserve">6</w:t>
            </w:r>
          </w:p>
        </w:tc>
        <w:tc>
          <w:tcPr>
            <w:tcW w:type="dxa" w:w="7800"/>
            <w:tcBorders>
              <w:top w:val="single" w:color="CCCCCC" w:sz="1"/>
              <w:left w:val="single" w:color="CCCCCC" w:sz="1"/>
              <w:bottom w:val="single" w:color="CCCCCC" w:sz="1"/>
              <w:right w:val="single" w:color="CCCCCC" w:sz="1"/>
            </w:tcBorders>
            <w:shd w:fill="F2F2F2" w:val="clear"/>
          </w:tcPr>
          <w:p>
            <w:r>
              <w:rPr>
                <w:b/>
                <w:bCs/>
              </w:rPr>
              <w:t xml:space="preserve">Instant Disbursement: </w:t>
            </w:r>
            <w:r>
              <w:t xml:space="preserve">If customer agrees, loan sanctioned and instantly transferred to bank account</w:t>
            </w:r>
          </w:p>
        </w:tc>
      </w:tr>
    </w:tbl>
    <w:p>
      <w:pPr>
        <w:pStyle w:val="Heading2"/>
      </w:pPr>
      <w:r>
        <w:t xml:space="preserve">Gold Testing: IIFL Process</w:t>
      </w:r>
    </w:p>
    <w:p>
      <w:pPr>
        <w:pStyle w:val="Heading3"/>
      </w:pPr>
      <w:r>
        <w:t xml:space="preserve">Karat Meter Testing</w:t>
      </w:r>
    </w:p>
    <w:p>
      <w:pPr>
        <w:spacing w:after="150"/>
      </w:pPr>
      <w:r>
        <w:t xml:space="preserve">IIFL uses </w:t>
      </w:r>
      <w:r>
        <w:rPr>
          <w:b/>
          <w:bCs/>
        </w:rPr>
        <w:t xml:space="preserve">standard karat meters</w:t>
      </w:r>
      <w:r>
        <w:t xml:space="preserve"> for both branch and doorstep valuation:</w:t>
      </w:r>
    </w:p>
    <w:p>
      <w:pPr>
        <w:pStyle w:val="ListParagraph"/>
        <w:numPr>
          <w:ilvl w:val="0"/>
          <w:numId w:val="3"/>
        </w:numPr>
      </w:pPr>
      <w:r>
        <w:rPr>
          <w:b/>
          <w:bCs/>
        </w:rPr>
        <w:t xml:space="preserve">Purity Assessment: </w:t>
      </w:r>
      <w:r>
        <w:t xml:space="preserve">Gold assessed for purity (18-22 karat accepted) and weight</w:t>
      </w:r>
    </w:p>
    <w:p>
      <w:pPr>
        <w:pStyle w:val="ListParagraph"/>
        <w:numPr>
          <w:ilvl w:val="0"/>
          <w:numId w:val="3"/>
        </w:numPr>
      </w:pPr>
      <w:r>
        <w:rPr>
          <w:b/>
          <w:bCs/>
        </w:rPr>
        <w:t xml:space="preserve">Valuation Method: </w:t>
      </w:r>
      <w:r>
        <w:t xml:space="preserve">30-day average gold rate of 22K gold used for calculation</w:t>
      </w:r>
    </w:p>
    <w:p>
      <w:pPr>
        <w:pStyle w:val="ListParagraph"/>
        <w:numPr>
          <w:ilvl w:val="0"/>
          <w:numId w:val="3"/>
        </w:numPr>
      </w:pPr>
      <w:r>
        <w:rPr>
          <w:b/>
          <w:bCs/>
        </w:rPr>
        <w:t xml:space="preserve">LTV Calculation: </w:t>
      </w:r>
      <w:r>
        <w:t xml:space="preserve">Up to 75% of gold's market value as per RBI guidelines</w:t>
      </w:r>
    </w:p>
    <w:p>
      <w:pPr>
        <w:pStyle w:val="ListParagraph"/>
        <w:numPr>
          <w:ilvl w:val="0"/>
          <w:numId w:val="3"/>
        </w:numPr>
      </w:pPr>
      <w:r>
        <w:rPr>
          <w:b/>
          <w:bCs/>
        </w:rPr>
        <w:t xml:space="preserve">Expert Valuers: </w:t>
      </w:r>
      <w:r>
        <w:t xml:space="preserve">Gold assessed by IIFL expert valuers trained in karat meter usage</w:t>
      </w:r>
    </w:p>
    <w:p>
      <w:pPr>
        <w:pStyle w:val="Heading3"/>
      </w:pPr>
      <w:r>
        <w:t xml:space="preserve">Disbursement Timeline</w:t>
      </w:r>
    </w:p>
    <w:p>
      <w:pPr>
        <w:spacing w:after="150"/>
      </w:pPr>
      <w:r>
        <w:rPr>
          <w:b/>
          <w:bCs/>
          <w:color w:val="2E75B6"/>
        </w:rPr>
        <w:t xml:space="preserve">Key Point: </w:t>
      </w:r>
      <w:r>
        <w:t xml:space="preserve">The loan is disbursed </w:t>
      </w:r>
      <w:r>
        <w:rPr>
          <w:b/>
          <w:bCs/>
        </w:rPr>
        <w:t xml:space="preserve">before the agent leaves</w:t>
      </w:r>
      <w:r>
        <w:t xml:space="preserve"> the customer's premises. The entire process—from application to valuation to disbursement—happens in front of the customer's eyes, typically within 30 minutes to a few hours.</w:t>
      </w:r>
    </w:p>
    <w:p>
      <w:r>
        <w:br w:type="page"/>
      </w:r>
    </w:p>
    <w:p>
      <w:pPr>
        <w:pStyle w:val="Heading2"/>
      </w:pPr>
      <w:r>
        <w:t xml:space="preserve">App-Driven Transformation</w:t>
      </w:r>
    </w:p>
    <w:p>
      <w:pPr>
        <w:pStyle w:val="Heading3"/>
      </w:pPr>
      <w:r>
        <w:t xml:space="preserve">IIFL Mobile App Redesign (COVID Era)</w:t>
      </w:r>
    </w:p>
    <w:p>
      <w:pPr>
        <w:spacing w:after="150"/>
      </w:pPr>
      <w:r>
        <w:t xml:space="preserve">IIFL partnered with technology firms to completely redesign its customer app during COVID, resulting 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Impact</w:t>
            </w:r>
          </w:p>
        </w:tc>
      </w:tr>
      <w:tr>
        <w:tc>
          <w:tcPr>
            <w:tcW w:type="dxa" w:w="4680"/>
            <w:tcBorders>
              <w:top w:val="single" w:color="CCCCCC" w:sz="1"/>
              <w:left w:val="single" w:color="CCCCCC" w:sz="1"/>
              <w:bottom w:val="single" w:color="CCCCCC" w:sz="1"/>
              <w:right w:val="single" w:color="CCCCCC" w:sz="1"/>
            </w:tcBorders>
          </w:tcPr>
          <w:p>
            <w:r>
              <w:t xml:space="preserve">Branch Footfall Reduction</w:t>
            </w:r>
          </w:p>
        </w:tc>
        <w:tc>
          <w:tcPr>
            <w:tcW w:type="dxa" w:w="4680"/>
            <w:tcBorders>
              <w:top w:val="single" w:color="CCCCCC" w:sz="1"/>
              <w:left w:val="single" w:color="CCCCCC" w:sz="1"/>
              <w:bottom w:val="single" w:color="CCCCCC" w:sz="1"/>
              <w:right w:val="single" w:color="CCCCCC" w:sz="1"/>
            </w:tcBorders>
          </w:tcPr>
          <w:p>
            <w:pPr>
              <w:jc w:val="center"/>
            </w:pPr>
            <w:r>
              <w:rPr>
                <w:b/>
                <w:bCs/>
                <w:color w:val="2E75B6"/>
                <w:sz w:val="28"/>
                <w:szCs w:val="28"/>
              </w:rPr>
              <w:t xml:space="preserve">68%</w:t>
            </w:r>
          </w:p>
        </w:tc>
      </w:tr>
      <w:tr>
        <w:tc>
          <w:tcPr>
            <w:tcW w:type="dxa" w:w="4680"/>
            <w:tcBorders>
              <w:top w:val="single" w:color="CCCCCC" w:sz="1"/>
              <w:left w:val="single" w:color="CCCCCC" w:sz="1"/>
              <w:bottom w:val="single" w:color="CCCCCC" w:sz="1"/>
              <w:right w:val="single" w:color="CCCCCC" w:sz="1"/>
            </w:tcBorders>
            <w:shd w:fill="F2F2F2" w:val="clear"/>
          </w:tcPr>
          <w:p>
            <w:r>
              <w:t xml:space="preserve">Support Ticket Reduction</w:t>
            </w:r>
          </w:p>
        </w:tc>
        <w:tc>
          <w:tcPr>
            <w:tcW w:type="dxa" w:w="4680"/>
            <w:tcBorders>
              <w:top w:val="single" w:color="CCCCCC" w:sz="1"/>
              <w:left w:val="single" w:color="CCCCCC" w:sz="1"/>
              <w:bottom w:val="single" w:color="CCCCCC" w:sz="1"/>
              <w:right w:val="single" w:color="CCCCCC" w:sz="1"/>
            </w:tcBorders>
            <w:shd w:fill="F2F2F2" w:val="clear"/>
          </w:tcPr>
          <w:p>
            <w:pPr>
              <w:jc w:val="center"/>
            </w:pPr>
            <w:r>
              <w:rPr>
                <w:b/>
                <w:bCs/>
                <w:color w:val="2E75B6"/>
                <w:sz w:val="28"/>
                <w:szCs w:val="28"/>
              </w:rPr>
              <w:t xml:space="preserve">39%</w:t>
            </w:r>
          </w:p>
        </w:tc>
      </w:tr>
      <w:tr>
        <w:tc>
          <w:tcPr>
            <w:tcW w:type="dxa" w:w="4680"/>
            <w:tcBorders>
              <w:top w:val="single" w:color="CCCCCC" w:sz="1"/>
              <w:left w:val="single" w:color="CCCCCC" w:sz="1"/>
              <w:bottom w:val="single" w:color="CCCCCC" w:sz="1"/>
              <w:right w:val="single" w:color="CCCCCC" w:sz="1"/>
            </w:tcBorders>
          </w:tcPr>
          <w:p>
            <w:r>
              <w:t xml:space="preserve">Loan Amount Managed</w:t>
            </w:r>
          </w:p>
        </w:tc>
        <w:tc>
          <w:tcPr>
            <w:tcW w:type="dxa" w:w="4680"/>
            <w:tcBorders>
              <w:top w:val="single" w:color="CCCCCC" w:sz="1"/>
              <w:left w:val="single" w:color="CCCCCC" w:sz="1"/>
              <w:bottom w:val="single" w:color="CCCCCC" w:sz="1"/>
              <w:right w:val="single" w:color="CCCCCC" w:sz="1"/>
            </w:tcBorders>
          </w:tcPr>
          <w:p>
            <w:pPr>
              <w:jc w:val="center"/>
            </w:pPr>
            <w:r>
              <w:rPr>
                <w:b/>
                <w:bCs/>
                <w:color w:val="2E75B6"/>
                <w:sz w:val="28"/>
                <w:szCs w:val="28"/>
              </w:rPr>
              <w:t xml:space="preserve">₹150+ Million</w:t>
            </w:r>
          </w:p>
        </w:tc>
      </w:tr>
      <w:tr>
        <w:tc>
          <w:tcPr>
            <w:tcW w:type="dxa" w:w="4680"/>
            <w:tcBorders>
              <w:top w:val="single" w:color="CCCCCC" w:sz="1"/>
              <w:left w:val="single" w:color="CCCCCC" w:sz="1"/>
              <w:bottom w:val="single" w:color="CCCCCC" w:sz="1"/>
              <w:right w:val="single" w:color="CCCCCC" w:sz="1"/>
            </w:tcBorders>
            <w:shd w:fill="F2F2F2" w:val="clear"/>
          </w:tcPr>
          <w:p>
            <w:r>
              <w:t xml:space="preserve">Active App Users</w:t>
            </w:r>
          </w:p>
        </w:tc>
        <w:tc>
          <w:tcPr>
            <w:tcW w:type="dxa" w:w="4680"/>
            <w:tcBorders>
              <w:top w:val="single" w:color="CCCCCC" w:sz="1"/>
              <w:left w:val="single" w:color="CCCCCC" w:sz="1"/>
              <w:bottom w:val="single" w:color="CCCCCC" w:sz="1"/>
              <w:right w:val="single" w:color="CCCCCC" w:sz="1"/>
            </w:tcBorders>
            <w:shd w:fill="F2F2F2" w:val="clear"/>
          </w:tcPr>
          <w:p>
            <w:pPr>
              <w:jc w:val="center"/>
            </w:pPr>
            <w:r>
              <w:rPr>
                <w:b/>
                <w:bCs/>
                <w:color w:val="2E75B6"/>
                <w:sz w:val="28"/>
                <w:szCs w:val="28"/>
              </w:rPr>
              <w:t xml:space="preserve">80 Lakh+</w:t>
            </w:r>
          </w:p>
        </w:tc>
      </w:tr>
    </w:tbl>
    <w:p>
      <w:pPr>
        <w:pStyle w:val="Heading3"/>
      </w:pPr>
      <w:r>
        <w:t xml:space="preserve">App Features</w:t>
      </w:r>
    </w:p>
    <w:p>
      <w:pPr>
        <w:pStyle w:val="ListParagraph"/>
        <w:numPr>
          <w:ilvl w:val="0"/>
          <w:numId w:val="3"/>
        </w:numPr>
      </w:pPr>
      <w:r>
        <w:t xml:space="preserve">12-language support for pan-India accessibility</w:t>
      </w:r>
    </w:p>
    <w:p>
      <w:pPr>
        <w:pStyle w:val="ListParagraph"/>
        <w:numPr>
          <w:ilvl w:val="0"/>
          <w:numId w:val="3"/>
        </w:numPr>
      </w:pPr>
      <w:r>
        <w:t xml:space="preserve">Complete loan lifecycle management: track loans, transactions, statements</w:t>
      </w:r>
    </w:p>
    <w:p>
      <w:pPr>
        <w:pStyle w:val="ListParagraph"/>
        <w:numPr>
          <w:ilvl w:val="0"/>
          <w:numId w:val="3"/>
        </w:numPr>
      </w:pPr>
      <w:r>
        <w:t xml:space="preserve">Online top-up and renewal without branch visit</w:t>
      </w:r>
    </w:p>
    <w:p>
      <w:pPr>
        <w:pStyle w:val="ListParagraph"/>
        <w:numPr>
          <w:ilvl w:val="0"/>
          <w:numId w:val="3"/>
        </w:numPr>
      </w:pPr>
      <w:r>
        <w:t xml:space="preserve">Digital payments via UPI, net banking, payment links</w:t>
      </w:r>
    </w:p>
    <w:p>
      <w:pPr>
        <w:pStyle w:val="ListParagraph"/>
        <w:numPr>
          <w:ilvl w:val="0"/>
          <w:numId w:val="3"/>
        </w:numPr>
      </w:pPr>
      <w:r>
        <w:t xml:space="preserve">Book doorstep appointment directly from app</w:t>
      </w:r>
    </w:p>
    <w:p>
      <w:pPr>
        <w:pStyle w:val="ListParagraph"/>
        <w:numPr>
          <w:ilvl w:val="0"/>
          <w:numId w:val="3"/>
        </w:numPr>
      </w:pPr>
      <w:r>
        <w:t xml:space="preserve">Increased time-on-app boosted cross-sell and upsell opportunities</w:t>
      </w:r>
    </w:p>
    <w:p>
      <w:pPr>
        <w:pStyle w:val="Heading2"/>
      </w:pPr>
      <w:r>
        <w:t xml:space="preserve">Trust &amp; Security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Security Layer</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Collection Verification</w:t>
            </w:r>
          </w:p>
        </w:tc>
        <w:tc>
          <w:tcPr>
            <w:tcW w:type="dxa" w:w="6240"/>
            <w:tcBorders>
              <w:top w:val="single" w:color="CCCCCC" w:sz="1"/>
              <w:left w:val="single" w:color="CCCCCC" w:sz="1"/>
              <w:bottom w:val="single" w:color="CCCCCC" w:sz="1"/>
              <w:right w:val="single" w:color="CCCCCC" w:sz="1"/>
            </w:tcBorders>
          </w:tcPr>
          <w:p>
            <w:r>
              <w:t xml:space="preserve">Each item carefully verified, weighed, and documented before leaving customer's home</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Secure Transport</w:t>
            </w:r>
          </w:p>
        </w:tc>
        <w:tc>
          <w:tcPr>
            <w:tcW w:type="dxa" w:w="6240"/>
            <w:tcBorders>
              <w:top w:val="single" w:color="CCCCCC" w:sz="1"/>
              <w:left w:val="single" w:color="CCCCCC" w:sz="1"/>
              <w:bottom w:val="single" w:color="CCCCCC" w:sz="1"/>
              <w:right w:val="single" w:color="CCCCCC" w:sz="1"/>
            </w:tcBorders>
            <w:shd w:fill="F2F2F2" w:val="clear"/>
          </w:tcPr>
          <w:p>
            <w:r>
              <w:t xml:space="preserve">Gold moved under secure, monitored, and insured logistics to branches/vaults</w:t>
            </w:r>
          </w:p>
        </w:tc>
      </w:tr>
      <w:tr>
        <w:tc>
          <w:tcPr>
            <w:tcW w:type="dxa" w:w="3120"/>
            <w:tcBorders>
              <w:top w:val="single" w:color="CCCCCC" w:sz="1"/>
              <w:left w:val="single" w:color="CCCCCC" w:sz="1"/>
              <w:bottom w:val="single" w:color="CCCCCC" w:sz="1"/>
              <w:right w:val="single" w:color="CCCCCC" w:sz="1"/>
            </w:tcBorders>
          </w:tcPr>
          <w:p>
            <w:r>
              <w:rPr>
                <w:b/>
                <w:bCs/>
              </w:rPr>
              <w:t xml:space="preserve">Vault Storage</w:t>
            </w:r>
          </w:p>
        </w:tc>
        <w:tc>
          <w:tcPr>
            <w:tcW w:type="dxa" w:w="6240"/>
            <w:tcBorders>
              <w:top w:val="single" w:color="CCCCCC" w:sz="1"/>
              <w:left w:val="single" w:color="CCCCCC" w:sz="1"/>
              <w:bottom w:val="single" w:color="CCCCCC" w:sz="1"/>
              <w:right w:val="single" w:color="CCCCCC" w:sz="1"/>
            </w:tcBorders>
          </w:tcPr>
          <w:p>
            <w:r>
              <w:t xml:space="preserve">Highly secure, fully insured facilities with 24x7 advanced surveillance and strict access controls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Insurance</w:t>
            </w:r>
          </w:p>
        </w:tc>
        <w:tc>
          <w:tcPr>
            <w:tcW w:type="dxa" w:w="6240"/>
            <w:tcBorders>
              <w:top w:val="single" w:color="CCCCCC" w:sz="1"/>
              <w:left w:val="single" w:color="CCCCCC" w:sz="1"/>
              <w:bottom w:val="single" w:color="CCCCCC" w:sz="1"/>
              <w:right w:val="single" w:color="CCCCCC" w:sz="1"/>
            </w:tcBorders>
            <w:shd w:fill="F2F2F2" w:val="clear"/>
          </w:tcPr>
          <w:p>
            <w:r>
              <w:t xml:space="preserve">Free insurance coverage at every stage: collection, transit, storage, and return</w:t>
            </w:r>
          </w:p>
        </w:tc>
      </w:tr>
      <w:tr>
        <w:tc>
          <w:tcPr>
            <w:tcW w:type="dxa" w:w="3120"/>
            <w:tcBorders>
              <w:top w:val="single" w:color="CCCCCC" w:sz="1"/>
              <w:left w:val="single" w:color="CCCCCC" w:sz="1"/>
              <w:bottom w:val="single" w:color="CCCCCC" w:sz="1"/>
              <w:right w:val="single" w:color="CCCCCC" w:sz="1"/>
            </w:tcBorders>
          </w:tcPr>
          <w:p>
            <w:r>
              <w:rPr>
                <w:b/>
                <w:bCs/>
              </w:rPr>
              <w:t xml:space="preserve">Geographic Coverage</w:t>
            </w:r>
          </w:p>
        </w:tc>
        <w:tc>
          <w:tcPr>
            <w:tcW w:type="dxa" w:w="6240"/>
            <w:tcBorders>
              <w:top w:val="single" w:color="CCCCCC" w:sz="1"/>
              <w:left w:val="single" w:color="CCCCCC" w:sz="1"/>
              <w:bottom w:val="single" w:color="CCCCCC" w:sz="1"/>
              <w:right w:val="single" w:color="CCCCCC" w:sz="1"/>
            </w:tcBorders>
          </w:tcPr>
          <w:p>
            <w:r>
              <w:t xml:space="preserve">Doorstep service available in 40+ cities across India (selective urban/semi-urban focus)</w:t>
            </w:r>
          </w:p>
        </w:tc>
      </w:tr>
    </w:tbl>
    <w:p>
      <w:r>
        <w:br w:type="page"/>
      </w:r>
    </w:p>
    <w:p>
      <w:pPr>
        <w:pStyle w:val="Heading1"/>
      </w:pPr>
      <w:r>
        <w:t xml:space="preserve">Comparative Analysis</w:t>
      </w:r>
    </w:p>
    <w:p>
      <w:pPr>
        <w:pStyle w:val="Heading2"/>
      </w:pPr>
      <w:r>
        <w:t xml:space="preserve">Manappuram vs IIFL: Strategic Differences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Dimension</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Manappuram</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IIFL</w:t>
            </w:r>
          </w:p>
        </w:tc>
      </w:tr>
      <w:tr>
        <w:tc>
          <w:tcPr>
            <w:tcW w:type="dxa" w:w="2340"/>
            <w:tcBorders>
              <w:top w:val="single" w:color="CCCCCC" w:sz="1"/>
              <w:left w:val="single" w:color="CCCCCC" w:sz="1"/>
              <w:bottom w:val="single" w:color="CCCCCC" w:sz="1"/>
              <w:right w:val="single" w:color="CCCCCC" w:sz="1"/>
            </w:tcBorders>
          </w:tcPr>
          <w:p>
            <w:r>
              <w:rPr>
                <w:b/>
                <w:bCs/>
              </w:rPr>
              <w:t xml:space="preserve">Digital Pioneer</w:t>
            </w:r>
          </w:p>
        </w:tc>
        <w:tc>
          <w:tcPr>
            <w:tcW w:type="dxa" w:w="3510"/>
            <w:tcBorders>
              <w:top w:val="single" w:color="CCCCCC" w:sz="1"/>
              <w:left w:val="single" w:color="CCCCCC" w:sz="1"/>
              <w:bottom w:val="single" w:color="CCCCCC" w:sz="1"/>
              <w:right w:val="single" w:color="CCCCCC" w:sz="1"/>
            </w:tcBorders>
          </w:tcPr>
          <w:p>
            <w:r>
              <w:t xml:space="preserve">OGL launched October 2015 - First NBFC</w:t>
            </w:r>
          </w:p>
        </w:tc>
        <w:tc>
          <w:tcPr>
            <w:tcW w:type="dxa" w:w="3510"/>
            <w:tcBorders>
              <w:top w:val="single" w:color="CCCCCC" w:sz="1"/>
              <w:left w:val="single" w:color="CCCCCC" w:sz="1"/>
              <w:bottom w:val="single" w:color="CCCCCC" w:sz="1"/>
              <w:right w:val="single" w:color="CCCCCC" w:sz="1"/>
            </w:tcBorders>
          </w:tcPr>
          <w:p>
            <w:r>
              <w:t xml:space="preserve">Digital Gold Loan December 2020 - COVID response</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Branch Network</w:t>
            </w:r>
          </w:p>
        </w:tc>
        <w:tc>
          <w:tcPr>
            <w:tcW w:type="dxa" w:w="3510"/>
            <w:tcBorders>
              <w:top w:val="single" w:color="CCCCCC" w:sz="1"/>
              <w:left w:val="single" w:color="CCCCCC" w:sz="1"/>
              <w:bottom w:val="single" w:color="CCCCCC" w:sz="1"/>
              <w:right w:val="single" w:color="CCCCCC" w:sz="1"/>
            </w:tcBorders>
            <w:shd w:fill="F2F2F2" w:val="clear"/>
          </w:tcPr>
          <w:p>
            <w:r>
              <w:t xml:space="preserve">5,300+ branches across 28 states</w:t>
            </w:r>
          </w:p>
        </w:tc>
        <w:tc>
          <w:tcPr>
            <w:tcW w:type="dxa" w:w="3510"/>
            <w:tcBorders>
              <w:top w:val="single" w:color="CCCCCC" w:sz="1"/>
              <w:left w:val="single" w:color="CCCCCC" w:sz="1"/>
              <w:bottom w:val="single" w:color="CCCCCC" w:sz="1"/>
              <w:right w:val="single" w:color="CCCCCC" w:sz="1"/>
            </w:tcBorders>
            <w:shd w:fill="F2F2F2" w:val="clear"/>
          </w:tcPr>
          <w:p>
            <w:r>
              <w:t xml:space="preserve">2,700+ branches across 500+ cities</w:t>
            </w:r>
          </w:p>
        </w:tc>
      </w:tr>
      <w:tr>
        <w:tc>
          <w:tcPr>
            <w:tcW w:type="dxa" w:w="2340"/>
            <w:tcBorders>
              <w:top w:val="single" w:color="CCCCCC" w:sz="1"/>
              <w:left w:val="single" w:color="CCCCCC" w:sz="1"/>
              <w:bottom w:val="single" w:color="CCCCCC" w:sz="1"/>
              <w:right w:val="single" w:color="CCCCCC" w:sz="1"/>
            </w:tcBorders>
          </w:tcPr>
          <w:p>
            <w:r>
              <w:rPr>
                <w:b/>
                <w:bCs/>
              </w:rPr>
              <w:t xml:space="preserve">Doorstep Cities</w:t>
            </w:r>
          </w:p>
        </w:tc>
        <w:tc>
          <w:tcPr>
            <w:tcW w:type="dxa" w:w="3510"/>
            <w:tcBorders>
              <w:top w:val="single" w:color="CCCCCC" w:sz="1"/>
              <w:left w:val="single" w:color="CCCCCC" w:sz="1"/>
              <w:bottom w:val="single" w:color="CCCCCC" w:sz="1"/>
              <w:right w:val="single" w:color="CCCCCC" w:sz="1"/>
            </w:tcBorders>
          </w:tcPr>
          <w:p>
            <w:r>
              <w:t xml:space="preserve">Pan-India via app (started 4 metros)</w:t>
            </w:r>
          </w:p>
        </w:tc>
        <w:tc>
          <w:tcPr>
            <w:tcW w:type="dxa" w:w="3510"/>
            <w:tcBorders>
              <w:top w:val="single" w:color="CCCCCC" w:sz="1"/>
              <w:left w:val="single" w:color="CCCCCC" w:sz="1"/>
              <w:bottom w:val="single" w:color="CCCCCC" w:sz="1"/>
              <w:right w:val="single" w:color="CCCCCC" w:sz="1"/>
            </w:tcBorders>
          </w:tcPr>
          <w:p>
            <w:r>
              <w:t xml:space="preserve">40+ cities (selective expansion)</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OGL Concept</w:t>
            </w:r>
          </w:p>
        </w:tc>
        <w:tc>
          <w:tcPr>
            <w:tcW w:type="dxa" w:w="3510"/>
            <w:tcBorders>
              <w:top w:val="single" w:color="CCCCCC" w:sz="1"/>
              <w:left w:val="single" w:color="CCCCCC" w:sz="1"/>
              <w:bottom w:val="single" w:color="CCCCCC" w:sz="1"/>
              <w:right w:val="single" w:color="CCCCCC" w:sz="1"/>
            </w:tcBorders>
            <w:shd w:fill="F2F2F2" w:val="clear"/>
          </w:tcPr>
          <w:p>
            <w:r>
              <w:t xml:space="preserve">Deposit once, borrow repeatedly 24x7 from anywhere</w:t>
            </w:r>
          </w:p>
        </w:tc>
        <w:tc>
          <w:tcPr>
            <w:tcW w:type="dxa" w:w="3510"/>
            <w:tcBorders>
              <w:top w:val="single" w:color="CCCCCC" w:sz="1"/>
              <w:left w:val="single" w:color="CCCCCC" w:sz="1"/>
              <w:bottom w:val="single" w:color="CCCCCC" w:sz="1"/>
              <w:right w:val="single" w:color="CCCCCC" w:sz="1"/>
            </w:tcBorders>
            <w:shd w:fill="F2F2F2" w:val="clear"/>
          </w:tcPr>
          <w:p>
            <w:r>
              <w:t xml:space="preserve">Top-up &amp; renewal online; doorstep for new loans</w:t>
            </w:r>
          </w:p>
        </w:tc>
      </w:tr>
      <w:tr>
        <w:tc>
          <w:tcPr>
            <w:tcW w:type="dxa" w:w="2340"/>
            <w:tcBorders>
              <w:top w:val="single" w:color="CCCCCC" w:sz="1"/>
              <w:left w:val="single" w:color="CCCCCC" w:sz="1"/>
              <w:bottom w:val="single" w:color="CCCCCC" w:sz="1"/>
              <w:right w:val="single" w:color="CCCCCC" w:sz="1"/>
            </w:tcBorders>
          </w:tcPr>
          <w:p>
            <w:r>
              <w:rPr>
                <w:b/>
                <w:bCs/>
              </w:rPr>
              <w:t xml:space="preserve">Min Loan Amount</w:t>
            </w:r>
          </w:p>
        </w:tc>
        <w:tc>
          <w:tcPr>
            <w:tcW w:type="dxa" w:w="3510"/>
            <w:tcBorders>
              <w:top w:val="single" w:color="CCCCCC" w:sz="1"/>
              <w:left w:val="single" w:color="CCCCCC" w:sz="1"/>
              <w:bottom w:val="single" w:color="CCCCCC" w:sz="1"/>
              <w:right w:val="single" w:color="CCCCCC" w:sz="1"/>
            </w:tcBorders>
          </w:tcPr>
          <w:p>
            <w:r>
              <w:t xml:space="preserve">₹1,000</w:t>
            </w:r>
          </w:p>
        </w:tc>
        <w:tc>
          <w:tcPr>
            <w:tcW w:type="dxa" w:w="3510"/>
            <w:tcBorders>
              <w:top w:val="single" w:color="CCCCCC" w:sz="1"/>
              <w:left w:val="single" w:color="CCCCCC" w:sz="1"/>
              <w:bottom w:val="single" w:color="CCCCCC" w:sz="1"/>
              <w:right w:val="single" w:color="CCCCCC" w:sz="1"/>
            </w:tcBorders>
          </w:tcPr>
          <w:p>
            <w:r>
              <w:t xml:space="preserve">₹3,000</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Max Loan Amount</w:t>
            </w:r>
          </w:p>
        </w:tc>
        <w:tc>
          <w:tcPr>
            <w:tcW w:type="dxa" w:w="3510"/>
            <w:tcBorders>
              <w:top w:val="single" w:color="CCCCCC" w:sz="1"/>
              <w:left w:val="single" w:color="CCCCCC" w:sz="1"/>
              <w:bottom w:val="single" w:color="CCCCCC" w:sz="1"/>
              <w:right w:val="single" w:color="CCCCCC" w:sz="1"/>
            </w:tcBorders>
            <w:shd w:fill="F2F2F2" w:val="clear"/>
          </w:tcPr>
          <w:p>
            <w:r>
              <w:t xml:space="preserve">Up to ₹1.5 crore</w:t>
            </w:r>
          </w:p>
        </w:tc>
        <w:tc>
          <w:tcPr>
            <w:tcW w:type="dxa" w:w="3510"/>
            <w:tcBorders>
              <w:top w:val="single" w:color="CCCCCC" w:sz="1"/>
              <w:left w:val="single" w:color="CCCCCC" w:sz="1"/>
              <w:bottom w:val="single" w:color="CCCCCC" w:sz="1"/>
              <w:right w:val="single" w:color="CCCCCC" w:sz="1"/>
            </w:tcBorders>
            <w:shd w:fill="F2F2F2" w:val="clear"/>
          </w:tcPr>
          <w:p>
            <w:r>
              <w:t xml:space="preserve">Up to ₹30 lakh (add'l due diligence above)</w:t>
            </w:r>
          </w:p>
        </w:tc>
      </w:tr>
      <w:tr>
        <w:tc>
          <w:tcPr>
            <w:tcW w:type="dxa" w:w="2340"/>
            <w:tcBorders>
              <w:top w:val="single" w:color="CCCCCC" w:sz="1"/>
              <w:left w:val="single" w:color="CCCCCC" w:sz="1"/>
              <w:bottom w:val="single" w:color="CCCCCC" w:sz="1"/>
              <w:right w:val="single" w:color="CCCCCC" w:sz="1"/>
            </w:tcBorders>
          </w:tcPr>
          <w:p>
            <w:r>
              <w:rPr>
                <w:b/>
                <w:bCs/>
              </w:rPr>
              <w:t xml:space="preserve">Disbursement Time</w:t>
            </w:r>
          </w:p>
        </w:tc>
        <w:tc>
          <w:tcPr>
            <w:tcW w:type="dxa" w:w="3510"/>
            <w:tcBorders>
              <w:top w:val="single" w:color="CCCCCC" w:sz="1"/>
              <w:left w:val="single" w:color="CCCCCC" w:sz="1"/>
              <w:bottom w:val="single" w:color="CCCCCC" w:sz="1"/>
              <w:right w:val="single" w:color="CCCCCC" w:sz="1"/>
            </w:tcBorders>
          </w:tcPr>
          <w:p>
            <w:r>
              <w:t xml:space="preserve">&lt; 30 minutes via IMPS</w:t>
            </w:r>
          </w:p>
        </w:tc>
        <w:tc>
          <w:tcPr>
            <w:tcW w:type="dxa" w:w="3510"/>
            <w:tcBorders>
              <w:top w:val="single" w:color="CCCCCC" w:sz="1"/>
              <w:left w:val="single" w:color="CCCCCC" w:sz="1"/>
              <w:bottom w:val="single" w:color="CCCCCC" w:sz="1"/>
              <w:right w:val="single" w:color="CCCCCC" w:sz="1"/>
            </w:tcBorders>
          </w:tcPr>
          <w:p>
            <w:r>
              <w:t xml:space="preserve">Instant (before agent leaves)</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Gold Testing</w:t>
            </w:r>
          </w:p>
        </w:tc>
        <w:tc>
          <w:tcPr>
            <w:tcW w:type="dxa" w:w="3510"/>
            <w:tcBorders>
              <w:top w:val="single" w:color="CCCCCC" w:sz="1"/>
              <w:left w:val="single" w:color="CCCCCC" w:sz="1"/>
              <w:bottom w:val="single" w:color="CCCCCC" w:sz="1"/>
              <w:right w:val="single" w:color="CCCCCC" w:sz="1"/>
            </w:tcBorders>
            <w:shd w:fill="F2F2F2" w:val="clear"/>
          </w:tcPr>
          <w:p>
            <w:r>
              <w:t xml:space="preserve">Portable equipment at doorstep; full test at branch</w:t>
            </w:r>
          </w:p>
        </w:tc>
        <w:tc>
          <w:tcPr>
            <w:tcW w:type="dxa" w:w="3510"/>
            <w:tcBorders>
              <w:top w:val="single" w:color="CCCCCC" w:sz="1"/>
              <w:left w:val="single" w:color="CCCCCC" w:sz="1"/>
              <w:bottom w:val="single" w:color="CCCCCC" w:sz="1"/>
              <w:right w:val="single" w:color="CCCCCC" w:sz="1"/>
            </w:tcBorders>
            <w:shd w:fill="F2F2F2" w:val="clear"/>
          </w:tcPr>
          <w:p>
            <w:r>
              <w:t xml:space="preserve">Standard karat meters; 30-day avg rate</w:t>
            </w:r>
          </w:p>
        </w:tc>
      </w:tr>
      <w:tr>
        <w:tc>
          <w:tcPr>
            <w:tcW w:type="dxa" w:w="2340"/>
            <w:tcBorders>
              <w:top w:val="single" w:color="CCCCCC" w:sz="1"/>
              <w:left w:val="single" w:color="CCCCCC" w:sz="1"/>
              <w:bottom w:val="single" w:color="CCCCCC" w:sz="1"/>
              <w:right w:val="single" w:color="CCCCCC" w:sz="1"/>
            </w:tcBorders>
          </w:tcPr>
          <w:p>
            <w:r>
              <w:rPr>
                <w:b/>
                <w:bCs/>
              </w:rPr>
              <w:t xml:space="preserve">Geographic Focus</w:t>
            </w:r>
          </w:p>
        </w:tc>
        <w:tc>
          <w:tcPr>
            <w:tcW w:type="dxa" w:w="3510"/>
            <w:tcBorders>
              <w:top w:val="single" w:color="CCCCCC" w:sz="1"/>
              <w:left w:val="single" w:color="CCCCCC" w:sz="1"/>
              <w:bottom w:val="single" w:color="CCCCCC" w:sz="1"/>
              <w:right w:val="single" w:color="CCCCCC" w:sz="1"/>
            </w:tcBorders>
          </w:tcPr>
          <w:p>
            <w:r>
              <w:t xml:space="preserve">44% AUM from rural/semi-urban</w:t>
            </w:r>
          </w:p>
        </w:tc>
        <w:tc>
          <w:tcPr>
            <w:tcW w:type="dxa" w:w="3510"/>
            <w:tcBorders>
              <w:top w:val="single" w:color="CCCCCC" w:sz="1"/>
              <w:left w:val="single" w:color="CCCCCC" w:sz="1"/>
              <w:bottom w:val="single" w:color="CCCCCC" w:sz="1"/>
              <w:right w:val="single" w:color="CCCCCC" w:sz="1"/>
            </w:tcBorders>
          </w:tcPr>
          <w:p>
            <w:r>
              <w:t xml:space="preserve">Urban/semi-urban focus (40+ cities)</w:t>
            </w:r>
          </w:p>
        </w:tc>
      </w:tr>
    </w:tbl>
    <w:p>
      <w:r>
        <w:br w:type="page"/>
      </w:r>
    </w:p>
    <w:p>
      <w:pPr>
        <w:pStyle w:val="Heading1"/>
      </w:pPr>
      <w:r>
        <w:t xml:space="preserve">Logistics &amp; Operational Challenges</w:t>
      </w:r>
    </w:p>
    <w:p>
      <w:pPr>
        <w:pStyle w:val="Heading2"/>
      </w:pPr>
      <w:r>
        <w:t xml:space="preserve">Common Challenges Faced</w:t>
      </w:r>
    </w:p>
    <w:p>
      <w:pPr>
        <w:pStyle w:val="ListParagraph"/>
        <w:numPr>
          <w:ilvl w:val="0"/>
          <w:numId w:val="5"/>
        </w:numPr>
      </w:pPr>
      <w:r>
        <w:rPr>
          <w:b/>
          <w:bCs/>
        </w:rPr>
        <w:t xml:space="preserve">Physical Gold Bottleneck: </w:t>
      </w:r>
      <w:r>
        <w:t xml:space="preserve">Unlike pure digital lending, gold loans cannot be fully digitized. The physical asset requires physical handling for testing, transport, and storage. This creates inherent operational complexity that digital-only models (like Rupeek) struggled with.</w:t>
      </w:r>
    </w:p>
    <w:p>
      <w:pPr>
        <w:pStyle w:val="ListParagraph"/>
        <w:numPr>
          <w:ilvl w:val="0"/>
          <w:numId w:val="5"/>
        </w:numPr>
      </w:pPr>
      <w:r>
        <w:rPr>
          <w:b/>
          <w:bCs/>
        </w:rPr>
        <w:t xml:space="preserve">Field Agent Security: </w:t>
      </w:r>
      <w:r>
        <w:t xml:space="preserve">Agents carry valuable gold and testing equipment. Security protocols needed include GPS tracking, secure transport containers, immediate vault deposit upon branch return, and comprehensive transit insurance.</w:t>
      </w:r>
    </w:p>
    <w:p>
      <w:pPr>
        <w:pStyle w:val="ListParagraph"/>
        <w:numPr>
          <w:ilvl w:val="0"/>
          <w:numId w:val="5"/>
        </w:numPr>
      </w:pPr>
      <w:r>
        <w:rPr>
          <w:b/>
          <w:bCs/>
        </w:rPr>
        <w:t xml:space="preserve">Testing Accuracy vs Speed: </w:t>
      </w:r>
      <w:r>
        <w:t xml:space="preserve">Portable karat meters provide quick results but are less accurate than branch-based XRF machines. The solution: preliminary field assessment with final verification at branch, enabling instant disbursement while maintaining quality control.</w:t>
      </w:r>
    </w:p>
    <w:p>
      <w:pPr>
        <w:pStyle w:val="ListParagraph"/>
        <w:numPr>
          <w:ilvl w:val="0"/>
          <w:numId w:val="5"/>
        </w:numPr>
      </w:pPr>
      <w:r>
        <w:rPr>
          <w:b/>
          <w:bCs/>
        </w:rPr>
        <w:t xml:space="preserve">Customer Trust Gap: </w:t>
      </w:r>
      <w:r>
        <w:t xml:space="preserve">Gold has deep emotional and cultural value; customers hesitant to hand over family heirlooms to unknown agents. Overcoming this required brand reputation, insurance guarantees, OTP verification, and ID card authentication.</w:t>
      </w:r>
    </w:p>
    <w:p>
      <w:pPr>
        <w:pStyle w:val="ListParagraph"/>
        <w:numPr>
          <w:ilvl w:val="0"/>
          <w:numId w:val="5"/>
        </w:numPr>
      </w:pPr>
      <w:r>
        <w:rPr>
          <w:b/>
          <w:bCs/>
        </w:rPr>
        <w:t xml:space="preserve">Scalability Economics: </w:t>
      </w:r>
      <w:r>
        <w:t xml:space="preserve">Doorstep service has higher unit costs than branch-based service. The incumbents solved this by leveraging existing branch infrastructure—doorstep agents transport gold to nearby branches, avoiding need for new vault infrastructure.</w:t>
      </w:r>
    </w:p>
    <w:p>
      <w:pPr>
        <w:pStyle w:val="ListParagraph"/>
        <w:numPr>
          <w:ilvl w:val="0"/>
          <w:numId w:val="5"/>
        </w:numPr>
      </w:pPr>
      <w:r>
        <w:rPr>
          <w:b/>
          <w:bCs/>
        </w:rPr>
        <w:t xml:space="preserve">RBI Compliance: </w:t>
      </w:r>
      <w:r>
        <w:t xml:space="preserve">₹20,000 cash disbursal limit meant all larger loans required digital disbursement. This actually accelerated digital adoption but some customers (especially rural/older) preferred cash and shifted to unorganized sector.</w:t>
      </w:r>
    </w:p>
    <w:p>
      <w:pPr>
        <w:pStyle w:val="Heading2"/>
      </w:pPr>
      <w:r>
        <w:t xml:space="preserve">How They Overcame Challenges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Challenge</w:t>
            </w:r>
          </w:p>
        </w:tc>
        <w:tc>
          <w:tcPr>
            <w:tcW w:type="dxa" w:w="62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Solution Implemented</w:t>
            </w:r>
          </w:p>
        </w:tc>
      </w:tr>
      <w:tr>
        <w:tc>
          <w:tcPr>
            <w:tcW w:type="dxa" w:w="3120"/>
            <w:tcBorders>
              <w:top w:val="single" w:color="CCCCCC" w:sz="1"/>
              <w:left w:val="single" w:color="CCCCCC" w:sz="1"/>
              <w:bottom w:val="single" w:color="CCCCCC" w:sz="1"/>
              <w:right w:val="single" w:color="CCCCCC" w:sz="1"/>
            </w:tcBorders>
          </w:tcPr>
          <w:p>
            <w:r>
              <w:rPr>
                <w:b/>
                <w:bCs/>
              </w:rPr>
              <w:t xml:space="preserve">Physical Bottleneck</w:t>
            </w:r>
          </w:p>
        </w:tc>
        <w:tc>
          <w:tcPr>
            <w:tcW w:type="dxa" w:w="6240"/>
            <w:tcBorders>
              <w:top w:val="single" w:color="CCCCCC" w:sz="1"/>
              <w:left w:val="single" w:color="CCCCCC" w:sz="1"/>
              <w:bottom w:val="single" w:color="CCCCCC" w:sz="1"/>
              <w:right w:val="single" w:color="CCCCCC" w:sz="1"/>
            </w:tcBorders>
          </w:tcPr>
          <w:p>
            <w:r>
              <w:t xml:space="preserve">'Phygital' model: Digital convenience + Physical branch infrastructure for storage and verification</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Agent Security</w:t>
            </w:r>
          </w:p>
        </w:tc>
        <w:tc>
          <w:tcPr>
            <w:tcW w:type="dxa" w:w="6240"/>
            <w:tcBorders>
              <w:top w:val="single" w:color="CCCCCC" w:sz="1"/>
              <w:left w:val="single" w:color="CCCCCC" w:sz="1"/>
              <w:bottom w:val="single" w:color="CCCCCC" w:sz="1"/>
              <w:right w:val="single" w:color="CCCCCC" w:sz="1"/>
            </w:tcBorders>
            <w:shd w:fill="F2F2F2" w:val="clear"/>
          </w:tcPr>
          <w:p>
            <w:r>
              <w:t xml:space="preserve">Real-time GPS tracking; secure DNA-tagged packets; immediate branch deposit; full transit insurance</w:t>
            </w:r>
          </w:p>
        </w:tc>
      </w:tr>
      <w:tr>
        <w:tc>
          <w:tcPr>
            <w:tcW w:type="dxa" w:w="3120"/>
            <w:tcBorders>
              <w:top w:val="single" w:color="CCCCCC" w:sz="1"/>
              <w:left w:val="single" w:color="CCCCCC" w:sz="1"/>
              <w:bottom w:val="single" w:color="CCCCCC" w:sz="1"/>
              <w:right w:val="single" w:color="CCCCCC" w:sz="1"/>
            </w:tcBorders>
          </w:tcPr>
          <w:p>
            <w:r>
              <w:rPr>
                <w:b/>
                <w:bCs/>
              </w:rPr>
              <w:t xml:space="preserve">Testing Speed vs Accuracy</w:t>
            </w:r>
          </w:p>
        </w:tc>
        <w:tc>
          <w:tcPr>
            <w:tcW w:type="dxa" w:w="6240"/>
            <w:tcBorders>
              <w:top w:val="single" w:color="CCCCCC" w:sz="1"/>
              <w:left w:val="single" w:color="CCCCCC" w:sz="1"/>
              <w:bottom w:val="single" w:color="CCCCCC" w:sz="1"/>
              <w:right w:val="single" w:color="CCCCCC" w:sz="1"/>
            </w:tcBorders>
          </w:tcPr>
          <w:p>
            <w:r>
              <w:t xml:space="preserve">Two-stage process: Quick karat meter assessment at doorstep → Full XRF verification at branch; disbursement based on initial assessment with branch validation as backstop</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Trust Building</w:t>
            </w:r>
          </w:p>
        </w:tc>
        <w:tc>
          <w:tcPr>
            <w:tcW w:type="dxa" w:w="6240"/>
            <w:tcBorders>
              <w:top w:val="single" w:color="CCCCCC" w:sz="1"/>
              <w:left w:val="single" w:color="CCCCCC" w:sz="1"/>
              <w:bottom w:val="single" w:color="CCCCCC" w:sz="1"/>
              <w:right w:val="single" w:color="CCCCCC" w:sz="1"/>
            </w:tcBorders>
            <w:shd w:fill="F2F2F2" w:val="clear"/>
          </w:tcPr>
          <w:p>
            <w:r>
              <w:t xml:space="preserve">Decades of brand reputation; OTP verification; employee ID cards; toll-free confirmation; 100% free insurance; transparent process in customer's presence</w:t>
            </w:r>
          </w:p>
        </w:tc>
      </w:tr>
      <w:tr>
        <w:tc>
          <w:tcPr>
            <w:tcW w:type="dxa" w:w="3120"/>
            <w:tcBorders>
              <w:top w:val="single" w:color="CCCCCC" w:sz="1"/>
              <w:left w:val="single" w:color="CCCCCC" w:sz="1"/>
              <w:bottom w:val="single" w:color="CCCCCC" w:sz="1"/>
              <w:right w:val="single" w:color="CCCCCC" w:sz="1"/>
            </w:tcBorders>
          </w:tcPr>
          <w:p>
            <w:r>
              <w:rPr>
                <w:b/>
                <w:bCs/>
              </w:rPr>
              <w:t xml:space="preserve">Scalability</w:t>
            </w:r>
          </w:p>
        </w:tc>
        <w:tc>
          <w:tcPr>
            <w:tcW w:type="dxa" w:w="6240"/>
            <w:tcBorders>
              <w:top w:val="single" w:color="CCCCCC" w:sz="1"/>
              <w:left w:val="single" w:color="CCCCCC" w:sz="1"/>
              <w:bottom w:val="single" w:color="CCCCCC" w:sz="1"/>
              <w:right w:val="single" w:color="CCCCCC" w:sz="1"/>
            </w:tcBorders>
          </w:tcPr>
          <w:p>
            <w:r>
              <w:t xml:space="preserve">Leverage existing 5,000+ branch network; doorstep service as extension not replacement; incremental digital investment on proven physical base</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Digital Literacy</w:t>
            </w:r>
          </w:p>
        </w:tc>
        <w:tc>
          <w:tcPr>
            <w:tcW w:type="dxa" w:w="6240"/>
            <w:tcBorders>
              <w:top w:val="single" w:color="CCCCCC" w:sz="1"/>
              <w:left w:val="single" w:color="CCCCCC" w:sz="1"/>
              <w:bottom w:val="single" w:color="CCCCCC" w:sz="1"/>
              <w:right w:val="single" w:color="CCCCCC" w:sz="1"/>
            </w:tcBorders>
            <w:shd w:fill="F2F2F2" w:val="clear"/>
          </w:tcPr>
          <w:p>
            <w:r>
              <w:t xml:space="preserve">Multi-channel approach: App + Website + SMS Gold Loan + Toll-free numbers; 12-language support; agent-assisted digital onboarding</w:t>
            </w:r>
          </w:p>
        </w:tc>
      </w:tr>
    </w:tbl>
    <w:p>
      <w:r>
        <w:br w:type="page"/>
      </w:r>
    </w:p>
    <w:p>
      <w:pPr>
        <w:pStyle w:val="Heading1"/>
      </w:pPr>
      <w:r>
        <w:t xml:space="preserve">Scaling Strategy</w:t>
      </w:r>
    </w:p>
    <w:p>
      <w:pPr>
        <w:pStyle w:val="Heading2"/>
      </w:pPr>
      <w:r>
        <w:t xml:space="preserve">Manappuram: Phased Geographic Expansion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Timeline</w:t>
            </w:r>
          </w:p>
        </w:tc>
        <w:tc>
          <w:tcPr>
            <w:tcW w:type="dxa" w:w="39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Details</w:t>
            </w:r>
          </w:p>
        </w:tc>
      </w:tr>
      <w:tr>
        <w:tc>
          <w:tcPr>
            <w:tcW w:type="dxa" w:w="2340"/>
            <w:tcBorders>
              <w:top w:val="single" w:color="CCCCCC" w:sz="1"/>
              <w:left w:val="single" w:color="CCCCCC" w:sz="1"/>
              <w:bottom w:val="single" w:color="CCCCCC" w:sz="1"/>
              <w:right w:val="single" w:color="CCCCCC" w:sz="1"/>
            </w:tcBorders>
          </w:tcPr>
          <w:p>
            <w:r>
              <w:rPr>
                <w:b/>
                <w:bCs/>
              </w:rPr>
              <w:t xml:space="preserve">OGL Launch</w:t>
            </w:r>
          </w:p>
        </w:tc>
        <w:tc>
          <w:tcPr>
            <w:tcW w:type="dxa" w:w="3120"/>
            <w:tcBorders>
              <w:top w:val="single" w:color="CCCCCC" w:sz="1"/>
              <w:left w:val="single" w:color="CCCCCC" w:sz="1"/>
              <w:bottom w:val="single" w:color="CCCCCC" w:sz="1"/>
              <w:right w:val="single" w:color="CCCCCC" w:sz="1"/>
            </w:tcBorders>
          </w:tcPr>
          <w:p>
            <w:r>
              <w:t xml:space="preserve">October 2015</w:t>
            </w:r>
          </w:p>
        </w:tc>
        <w:tc>
          <w:tcPr>
            <w:tcW w:type="dxa" w:w="3900"/>
            <w:tcBorders>
              <w:top w:val="single" w:color="CCCCCC" w:sz="1"/>
              <w:left w:val="single" w:color="CCCCCC" w:sz="1"/>
              <w:bottom w:val="single" w:color="CCCCCC" w:sz="1"/>
              <w:right w:val="single" w:color="CCCCCC" w:sz="1"/>
            </w:tcBorders>
          </w:tcPr>
          <w:p>
            <w:r>
              <w:t xml:space="preserve">First gold loan NBFC to launch online gold loan</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Bangalore Pilot</w:t>
            </w:r>
          </w:p>
        </w:tc>
        <w:tc>
          <w:tcPr>
            <w:tcW w:type="dxa" w:w="3120"/>
            <w:tcBorders>
              <w:top w:val="single" w:color="CCCCCC" w:sz="1"/>
              <w:left w:val="single" w:color="CCCCCC" w:sz="1"/>
              <w:bottom w:val="single" w:color="CCCCCC" w:sz="1"/>
              <w:right w:val="single" w:color="CCCCCC" w:sz="1"/>
            </w:tcBorders>
            <w:shd w:fill="F2F2F2" w:val="clear"/>
          </w:tcPr>
          <w:p>
            <w:r>
              <w:t xml:space="preserve">2018</w:t>
            </w:r>
          </w:p>
        </w:tc>
        <w:tc>
          <w:tcPr>
            <w:tcW w:type="dxa" w:w="3900"/>
            <w:tcBorders>
              <w:top w:val="single" w:color="CCCCCC" w:sz="1"/>
              <w:left w:val="single" w:color="CCCCCC" w:sz="1"/>
              <w:bottom w:val="single" w:color="CCCCCC" w:sz="1"/>
              <w:right w:val="single" w:color="CCCCCC" w:sz="1"/>
            </w:tcBorders>
            <w:shd w:fill="F2F2F2" w:val="clear"/>
          </w:tcPr>
          <w:p>
            <w:r>
              <w:t xml:space="preserve">5 branches → 100 branches; 1 branch 24x7</w:t>
            </w:r>
          </w:p>
        </w:tc>
      </w:tr>
      <w:tr>
        <w:tc>
          <w:tcPr>
            <w:tcW w:type="dxa" w:w="2340"/>
            <w:tcBorders>
              <w:top w:val="single" w:color="CCCCCC" w:sz="1"/>
              <w:left w:val="single" w:color="CCCCCC" w:sz="1"/>
              <w:bottom w:val="single" w:color="CCCCCC" w:sz="1"/>
              <w:right w:val="single" w:color="CCCCCC" w:sz="1"/>
            </w:tcBorders>
          </w:tcPr>
          <w:p>
            <w:r>
              <w:rPr>
                <w:b/>
                <w:bCs/>
              </w:rPr>
              <w:t xml:space="preserve">Chennai Expansion</w:t>
            </w:r>
          </w:p>
        </w:tc>
        <w:tc>
          <w:tcPr>
            <w:tcW w:type="dxa" w:w="3120"/>
            <w:tcBorders>
              <w:top w:val="single" w:color="CCCCCC" w:sz="1"/>
              <w:left w:val="single" w:color="CCCCCC" w:sz="1"/>
              <w:bottom w:val="single" w:color="CCCCCC" w:sz="1"/>
              <w:right w:val="single" w:color="CCCCCC" w:sz="1"/>
            </w:tcBorders>
          </w:tcPr>
          <w:p>
            <w:r>
              <w:t xml:space="preserve">2018</w:t>
            </w:r>
          </w:p>
        </w:tc>
        <w:tc>
          <w:tcPr>
            <w:tcW w:type="dxa" w:w="3900"/>
            <w:tcBorders>
              <w:top w:val="single" w:color="CCCCCC" w:sz="1"/>
              <w:left w:val="single" w:color="CCCCCC" w:sz="1"/>
              <w:bottom w:val="single" w:color="CCCCCC" w:sz="1"/>
              <w:right w:val="single" w:color="CCCCCC" w:sz="1"/>
            </w:tcBorders>
          </w:tcPr>
          <w:p>
            <w:r>
              <w:t xml:space="preserve">107 branches offering doorstep service</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Bangalore Scale-Up</w:t>
            </w:r>
          </w:p>
        </w:tc>
        <w:tc>
          <w:tcPr>
            <w:tcW w:type="dxa" w:w="3120"/>
            <w:tcBorders>
              <w:top w:val="single" w:color="CCCCCC" w:sz="1"/>
              <w:left w:val="single" w:color="CCCCCC" w:sz="1"/>
              <w:bottom w:val="single" w:color="CCCCCC" w:sz="1"/>
              <w:right w:val="single" w:color="CCCCCC" w:sz="1"/>
            </w:tcBorders>
            <w:shd w:fill="F2F2F2" w:val="clear"/>
          </w:tcPr>
          <w:p>
            <w:r>
              <w:t xml:space="preserve">2019</w:t>
            </w:r>
          </w:p>
        </w:tc>
        <w:tc>
          <w:tcPr>
            <w:tcW w:type="dxa" w:w="3900"/>
            <w:tcBorders>
              <w:top w:val="single" w:color="CCCCCC" w:sz="1"/>
              <w:left w:val="single" w:color="CCCCCC" w:sz="1"/>
              <w:bottom w:val="single" w:color="CCCCCC" w:sz="1"/>
              <w:right w:val="single" w:color="CCCCCC" w:sz="1"/>
            </w:tcBorders>
            <w:shd w:fill="F2F2F2" w:val="clear"/>
          </w:tcPr>
          <w:p>
            <w:r>
              <w:t xml:space="preserve">183 branches; dedicated helplines</w:t>
            </w:r>
          </w:p>
        </w:tc>
      </w:tr>
      <w:tr>
        <w:tc>
          <w:tcPr>
            <w:tcW w:type="dxa" w:w="2340"/>
            <w:tcBorders>
              <w:top w:val="single" w:color="CCCCCC" w:sz="1"/>
              <w:left w:val="single" w:color="CCCCCC" w:sz="1"/>
              <w:bottom w:val="single" w:color="CCCCCC" w:sz="1"/>
              <w:right w:val="single" w:color="CCCCCC" w:sz="1"/>
            </w:tcBorders>
          </w:tcPr>
          <w:p>
            <w:r>
              <w:rPr>
                <w:b/>
                <w:bCs/>
              </w:rPr>
              <w:t xml:space="preserve">Delhi &amp; Mumbai</w:t>
            </w:r>
          </w:p>
        </w:tc>
        <w:tc>
          <w:tcPr>
            <w:tcW w:type="dxa" w:w="3120"/>
            <w:tcBorders>
              <w:top w:val="single" w:color="CCCCCC" w:sz="1"/>
              <w:left w:val="single" w:color="CCCCCC" w:sz="1"/>
              <w:bottom w:val="single" w:color="CCCCCC" w:sz="1"/>
              <w:right w:val="single" w:color="CCCCCC" w:sz="1"/>
            </w:tcBorders>
          </w:tcPr>
          <w:p>
            <w:r>
              <w:t xml:space="preserve">March 2019</w:t>
            </w:r>
          </w:p>
        </w:tc>
        <w:tc>
          <w:tcPr>
            <w:tcW w:type="dxa" w:w="3900"/>
            <w:tcBorders>
              <w:top w:val="single" w:color="CCCCCC" w:sz="1"/>
              <w:left w:val="single" w:color="CCCCCC" w:sz="1"/>
              <w:bottom w:val="single" w:color="CCCCCC" w:sz="1"/>
              <w:right w:val="single" w:color="CCCCCC" w:sz="1"/>
            </w:tcBorders>
          </w:tcPr>
          <w:p>
            <w:r>
              <w:t xml:space="preserve">50 branches each; toll-free helplines</w:t>
            </w:r>
          </w:p>
        </w:tc>
      </w:tr>
      <w:tr>
        <w:tc>
          <w:tcPr>
            <w:tcW w:type="dxa" w:w="2340"/>
            <w:tcBorders>
              <w:top w:val="single" w:color="CCCCCC" w:sz="1"/>
              <w:left w:val="single" w:color="CCCCCC" w:sz="1"/>
              <w:bottom w:val="single" w:color="CCCCCC" w:sz="1"/>
              <w:right w:val="single" w:color="CCCCCC" w:sz="1"/>
            </w:tcBorders>
            <w:shd w:fill="F2F2F2" w:val="clear"/>
          </w:tcPr>
          <w:p>
            <w:r>
              <w:rPr>
                <w:b/>
                <w:bCs/>
              </w:rPr>
              <w:t xml:space="preserve">COVID Acceleration</w:t>
            </w:r>
          </w:p>
        </w:tc>
        <w:tc>
          <w:tcPr>
            <w:tcW w:type="dxa" w:w="3120"/>
            <w:tcBorders>
              <w:top w:val="single" w:color="CCCCCC" w:sz="1"/>
              <w:left w:val="single" w:color="CCCCCC" w:sz="1"/>
              <w:bottom w:val="single" w:color="CCCCCC" w:sz="1"/>
              <w:right w:val="single" w:color="CCCCCC" w:sz="1"/>
            </w:tcBorders>
            <w:shd w:fill="F2F2F2" w:val="clear"/>
          </w:tcPr>
          <w:p>
            <w:r>
              <w:t xml:space="preserve">2020-2021</w:t>
            </w:r>
          </w:p>
        </w:tc>
        <w:tc>
          <w:tcPr>
            <w:tcW w:type="dxa" w:w="3900"/>
            <w:tcBorders>
              <w:top w:val="single" w:color="CCCCCC" w:sz="1"/>
              <w:left w:val="single" w:color="CCCCCC" w:sz="1"/>
              <w:bottom w:val="single" w:color="CCCCCC" w:sz="1"/>
              <w:right w:val="single" w:color="CCCCCC" w:sz="1"/>
            </w:tcBorders>
            <w:shd w:fill="F2F2F2" w:val="clear"/>
          </w:tcPr>
          <w:p>
            <w:r>
              <w:t xml:space="preserve">Pan-India via mobile app; digital collections 35%→54%</w:t>
            </w:r>
          </w:p>
        </w:tc>
      </w:tr>
      <w:tr>
        <w:tc>
          <w:tcPr>
            <w:tcW w:type="dxa" w:w="2340"/>
            <w:tcBorders>
              <w:top w:val="single" w:color="CCCCCC" w:sz="1"/>
              <w:left w:val="single" w:color="CCCCCC" w:sz="1"/>
              <w:bottom w:val="single" w:color="CCCCCC" w:sz="1"/>
              <w:right w:val="single" w:color="CCCCCC" w:sz="1"/>
            </w:tcBorders>
          </w:tcPr>
          <w:p>
            <w:r>
              <w:rPr>
                <w:b/>
                <w:bCs/>
              </w:rPr>
              <w:t xml:space="preserve">Multi-Language Campaign</w:t>
            </w:r>
          </w:p>
        </w:tc>
        <w:tc>
          <w:tcPr>
            <w:tcW w:type="dxa" w:w="3120"/>
            <w:tcBorders>
              <w:top w:val="single" w:color="CCCCCC" w:sz="1"/>
              <w:left w:val="single" w:color="CCCCCC" w:sz="1"/>
              <w:bottom w:val="single" w:color="CCCCCC" w:sz="1"/>
              <w:right w:val="single" w:color="CCCCCC" w:sz="1"/>
            </w:tcBorders>
          </w:tcPr>
          <w:p>
            <w:r>
              <w:t xml:space="preserve">2024</w:t>
            </w:r>
          </w:p>
        </w:tc>
        <w:tc>
          <w:tcPr>
            <w:tcW w:type="dxa" w:w="3900"/>
            <w:tcBorders>
              <w:top w:val="single" w:color="CCCCCC" w:sz="1"/>
              <w:left w:val="single" w:color="CCCCCC" w:sz="1"/>
              <w:bottom w:val="single" w:color="CCCCCC" w:sz="1"/>
              <w:right w:val="single" w:color="CCCCCC" w:sz="1"/>
            </w:tcBorders>
          </w:tcPr>
          <w:p>
            <w:r>
              <w:t xml:space="preserve">10-language 'Make Life Easy' campaign; nationwide availability</w:t>
            </w:r>
          </w:p>
        </w:tc>
      </w:tr>
    </w:tbl>
    <w:p>
      <w:pPr>
        <w:pStyle w:val="Heading2"/>
      </w:pPr>
      <w:r>
        <w:t xml:space="preserve">IIFL: Selective Urban Expansion</w:t>
      </w:r>
    </w:p>
    <w:p>
      <w:pPr>
        <w:spacing w:after="150"/>
      </w:pPr>
      <w:r>
        <w:t xml:space="preserve">IIFL took a more selective approach to doorstep expansion:</w:t>
      </w:r>
    </w:p>
    <w:p>
      <w:pPr>
        <w:pStyle w:val="ListParagraph"/>
        <w:numPr>
          <w:ilvl w:val="0"/>
          <w:numId w:val="3"/>
        </w:numPr>
      </w:pPr>
      <w:r>
        <w:rPr>
          <w:b/>
          <w:bCs/>
        </w:rPr>
        <w:t xml:space="preserve">Focus on 40+ cities: </w:t>
      </w:r>
      <w:r>
        <w:t xml:space="preserve">Urban and semi-urban areas with higher digital adoption</w:t>
      </w:r>
    </w:p>
    <w:p>
      <w:pPr>
        <w:pStyle w:val="ListParagraph"/>
        <w:numPr>
          <w:ilvl w:val="0"/>
          <w:numId w:val="3"/>
        </w:numPr>
      </w:pPr>
      <w:r>
        <w:rPr>
          <w:b/>
          <w:bCs/>
        </w:rPr>
        <w:t xml:space="preserve">Branch leverage: </w:t>
      </w:r>
      <w:r>
        <w:t xml:space="preserve">2,700+ branches as service points; doorstep as value-add</w:t>
      </w:r>
    </w:p>
    <w:p>
      <w:pPr>
        <w:pStyle w:val="ListParagraph"/>
        <w:numPr>
          <w:ilvl w:val="0"/>
          <w:numId w:val="3"/>
        </w:numPr>
      </w:pPr>
      <w:r>
        <w:rPr>
          <w:b/>
          <w:bCs/>
        </w:rPr>
        <w:t xml:space="preserve">Digital-first for repeat: </w:t>
      </w:r>
      <w:r>
        <w:t xml:space="preserve">68% reduction in branch footfall through app capabilities</w:t>
      </w:r>
    </w:p>
    <w:p>
      <w:pPr>
        <w:pStyle w:val="ListParagraph"/>
        <w:numPr>
          <w:ilvl w:val="0"/>
          <w:numId w:val="3"/>
        </w:numPr>
      </w:pPr>
      <w:r>
        <w:rPr>
          <w:b/>
          <w:bCs/>
        </w:rPr>
        <w:t xml:space="preserve">Doorstep for acquisition: </w:t>
      </w:r>
      <w:r>
        <w:t xml:space="preserve">New customers via doorstep; renewals/top-ups via app</w:t>
      </w:r>
    </w:p>
    <w:p>
      <w:r>
        <w:br w:type="page"/>
      </w:r>
    </w:p>
    <w:p>
      <w:pPr>
        <w:pStyle w:val="Heading1"/>
      </w:pPr>
      <w:r>
        <w:t xml:space="preserve">Key Lessons Learned</w:t>
      </w:r>
    </w:p>
    <w:p>
      <w:pPr>
        <w:pStyle w:val="Heading2"/>
      </w:pPr>
      <w:r>
        <w:t xml:space="preserve">Why Incumbents Succeeded Where Fintechs Struggled</w:t>
      </w:r>
    </w:p>
    <w:p>
      <w:pPr>
        <w:pStyle w:val="ListParagraph"/>
        <w:numPr>
          <w:ilvl w:val="0"/>
          <w:numId w:val="6"/>
        </w:numPr>
      </w:pPr>
      <w:r>
        <w:rPr>
          <w:b/>
          <w:bCs/>
        </w:rPr>
        <w:t xml:space="preserve">Physical Infrastructure is Non-Negotiable: </w:t>
      </w:r>
      <w:r>
        <w:t xml:space="preserve">Gold loans cannot be fully digitized. The physical asset requires physical handling. Manappuram's 5,300+ branches and IIFL's 2,700+ branches provided the vault infrastructure that pure-play fintechs like Rupeek had to partner with banks to access.</w:t>
      </w:r>
    </w:p>
    <w:p>
      <w:pPr>
        <w:pStyle w:val="ListParagraph"/>
        <w:numPr>
          <w:ilvl w:val="0"/>
          <w:numId w:val="6"/>
        </w:numPr>
      </w:pPr>
      <w:r>
        <w:rPr>
          <w:b/>
          <w:bCs/>
        </w:rPr>
        <w:t xml:space="preserve">Layer Digital on Physical (Not Replace): </w:t>
      </w:r>
      <w:r>
        <w:t xml:space="preserve">The successful model was 'phygital'—digital convenience layered on physical infrastructure. Customers apply online, but gold is stored in physical vaults. This reduces trust anxiety while adding convenience.</w:t>
      </w:r>
    </w:p>
    <w:p>
      <w:pPr>
        <w:pStyle w:val="ListParagraph"/>
        <w:numPr>
          <w:ilvl w:val="0"/>
          <w:numId w:val="6"/>
        </w:numPr>
      </w:pPr>
      <w:r>
        <w:rPr>
          <w:b/>
          <w:bCs/>
        </w:rPr>
        <w:t xml:space="preserve">Trust Takes Decades to Build: </w:t>
      </w:r>
      <w:r>
        <w:t xml:space="preserve">Gold has deep emotional value. Customers handing over family heirlooms need confidence. Manappuram's 75-year history and IIFL's established brand provided trust that new entrants struggled to replicate.</w:t>
      </w:r>
    </w:p>
    <w:p>
      <w:pPr>
        <w:pStyle w:val="ListParagraph"/>
        <w:numPr>
          <w:ilvl w:val="0"/>
          <w:numId w:val="6"/>
        </w:numPr>
      </w:pPr>
      <w:r>
        <w:rPr>
          <w:b/>
          <w:bCs/>
        </w:rPr>
        <w:t xml:space="preserve">Digitize Repeat Interactions First: </w:t>
      </w:r>
      <w:r>
        <w:t xml:space="preserve">The highest-ROI digital investment is in repeat transactions: top-ups, renewals, payments, statement downloads. First-time gold deposit still benefits from branch visit; subsequent interactions can be fully digital.</w:t>
      </w:r>
    </w:p>
    <w:p>
      <w:pPr>
        <w:pStyle w:val="ListParagraph"/>
        <w:numPr>
          <w:ilvl w:val="0"/>
          <w:numId w:val="6"/>
        </w:numPr>
      </w:pPr>
      <w:r>
        <w:rPr>
          <w:b/>
          <w:bCs/>
        </w:rPr>
        <w:t xml:space="preserve">Unit Economics Matter More Than Growth: </w:t>
      </w:r>
      <w:r>
        <w:t xml:space="preserve">Rupeek's growth-at-all-costs model ($634M valuation → $250M in 2 years) showed the limits of burning cash in a physical-asset business. Incumbents were profitable from Day 1 on incremental digital investment.</w:t>
      </w:r>
    </w:p>
    <w:p>
      <w:pPr>
        <w:pStyle w:val="ListParagraph"/>
        <w:numPr>
          <w:ilvl w:val="0"/>
          <w:numId w:val="6"/>
        </w:numPr>
      </w:pPr>
      <w:r>
        <w:rPr>
          <w:b/>
          <w:bCs/>
        </w:rPr>
        <w:t xml:space="preserve">Rural/Semi-Urban is the Real Opportunity: </w:t>
      </w:r>
      <w:r>
        <w:t xml:space="preserve">60%+ of India's gold is in rural areas. Manappuram's 44% rural/semi-urban AUM and 5,300+ branch network positioned it better than urban-focused Rupeek (60+ cities only).</w:t>
      </w:r>
    </w:p>
    <w:p>
      <w:pPr>
        <w:pStyle w:val="Heading2"/>
      </w:pPr>
      <w:r>
        <w:t xml:space="preserve">Technology Investment Priorities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Technology</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ROI Priority</w:t>
            </w:r>
          </w:p>
        </w:tc>
        <w:tc>
          <w:tcPr>
            <w:tcW w:type="dxa" w:w="39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Rationale</w:t>
            </w:r>
          </w:p>
        </w:tc>
      </w:tr>
      <w:tr>
        <w:tc>
          <w:tcPr>
            <w:tcW w:type="dxa" w:w="3120"/>
            <w:tcBorders>
              <w:top w:val="single" w:color="CCCCCC" w:sz="1"/>
              <w:left w:val="single" w:color="CCCCCC" w:sz="1"/>
              <w:bottom w:val="single" w:color="CCCCCC" w:sz="1"/>
              <w:right w:val="single" w:color="CCCCCC" w:sz="1"/>
            </w:tcBorders>
          </w:tcPr>
          <w:p>
            <w:r>
              <w:t xml:space="preserve">Mobile App (Customer)</w:t>
            </w:r>
          </w:p>
        </w:tc>
        <w:tc>
          <w:tcPr>
            <w:tcW w:type="dxa" w:w="2340"/>
            <w:tcBorders>
              <w:top w:val="single" w:color="CCCCCC" w:sz="1"/>
              <w:left w:val="single" w:color="CCCCCC" w:sz="1"/>
              <w:bottom w:val="single" w:color="CCCCCC" w:sz="1"/>
              <w:right w:val="single" w:color="CCCCCC" w:sz="1"/>
            </w:tcBorders>
          </w:tcPr>
          <w:p>
            <w:pPr>
              <w:jc w:val="center"/>
            </w:pPr>
            <w:r>
              <w:rPr>
                <w:b/>
                <w:bCs/>
                <w:color w:val="2E8B57"/>
              </w:rPr>
              <w:t xml:space="preserve">HIGH</w:t>
            </w:r>
          </w:p>
        </w:tc>
        <w:tc>
          <w:tcPr>
            <w:tcW w:type="dxa" w:w="3900"/>
            <w:tcBorders>
              <w:top w:val="single" w:color="CCCCCC" w:sz="1"/>
              <w:left w:val="single" w:color="CCCCCC" w:sz="1"/>
              <w:bottom w:val="single" w:color="CCCCCC" w:sz="1"/>
              <w:right w:val="single" w:color="CCCCCC" w:sz="1"/>
            </w:tcBorders>
          </w:tcPr>
          <w:p>
            <w:r>
              <w:t xml:space="preserve">68% branch footfall reduction; self-service; cross-sell</w:t>
            </w:r>
          </w:p>
        </w:tc>
      </w:tr>
      <w:tr>
        <w:tc>
          <w:tcPr>
            <w:tcW w:type="dxa" w:w="3120"/>
            <w:tcBorders>
              <w:top w:val="single" w:color="CCCCCC" w:sz="1"/>
              <w:left w:val="single" w:color="CCCCCC" w:sz="1"/>
              <w:bottom w:val="single" w:color="CCCCCC" w:sz="1"/>
              <w:right w:val="single" w:color="CCCCCC" w:sz="1"/>
            </w:tcBorders>
            <w:shd w:fill="F2F2F2" w:val="clear"/>
          </w:tcPr>
          <w:p>
            <w:r>
              <w:t xml:space="preserve">Digital Payments/Collections</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color w:val="2E8B57"/>
              </w:rPr>
              <w:t xml:space="preserve">HIGH</w:t>
            </w:r>
          </w:p>
        </w:tc>
        <w:tc>
          <w:tcPr>
            <w:tcW w:type="dxa" w:w="3900"/>
            <w:tcBorders>
              <w:top w:val="single" w:color="CCCCCC" w:sz="1"/>
              <w:left w:val="single" w:color="CCCCCC" w:sz="1"/>
              <w:bottom w:val="single" w:color="CCCCCC" w:sz="1"/>
              <w:right w:val="single" w:color="CCCCCC" w:sz="1"/>
            </w:tcBorders>
            <w:shd w:fill="F2F2F2" w:val="clear"/>
          </w:tcPr>
          <w:p>
            <w:r>
              <w:t xml:space="preserve">54% digital collections achieved; reduced cash handling</w:t>
            </w:r>
          </w:p>
        </w:tc>
      </w:tr>
      <w:tr>
        <w:tc>
          <w:tcPr>
            <w:tcW w:type="dxa" w:w="3120"/>
            <w:tcBorders>
              <w:top w:val="single" w:color="CCCCCC" w:sz="1"/>
              <w:left w:val="single" w:color="CCCCCC" w:sz="1"/>
              <w:bottom w:val="single" w:color="CCCCCC" w:sz="1"/>
              <w:right w:val="single" w:color="CCCCCC" w:sz="1"/>
            </w:tcBorders>
          </w:tcPr>
          <w:p>
            <w:r>
              <w:t xml:space="preserve">IMPS/NEFT Integration</w:t>
            </w:r>
          </w:p>
        </w:tc>
        <w:tc>
          <w:tcPr>
            <w:tcW w:type="dxa" w:w="2340"/>
            <w:tcBorders>
              <w:top w:val="single" w:color="CCCCCC" w:sz="1"/>
              <w:left w:val="single" w:color="CCCCCC" w:sz="1"/>
              <w:bottom w:val="single" w:color="CCCCCC" w:sz="1"/>
              <w:right w:val="single" w:color="CCCCCC" w:sz="1"/>
            </w:tcBorders>
          </w:tcPr>
          <w:p>
            <w:pPr>
              <w:jc w:val="center"/>
            </w:pPr>
            <w:r>
              <w:rPr>
                <w:b/>
                <w:bCs/>
                <w:color w:val="2E8B57"/>
              </w:rPr>
              <w:t xml:space="preserve">HIGH</w:t>
            </w:r>
          </w:p>
        </w:tc>
        <w:tc>
          <w:tcPr>
            <w:tcW w:type="dxa" w:w="3900"/>
            <w:tcBorders>
              <w:top w:val="single" w:color="CCCCCC" w:sz="1"/>
              <w:left w:val="single" w:color="CCCCCC" w:sz="1"/>
              <w:bottom w:val="single" w:color="CCCCCC" w:sz="1"/>
              <w:right w:val="single" w:color="CCCCCC" w:sz="1"/>
            </w:tcBorders>
          </w:tcPr>
          <w:p>
            <w:r>
              <w:t xml:space="preserve">24x7 instant disbursement; customer delight; compliance</w:t>
            </w:r>
          </w:p>
        </w:tc>
      </w:tr>
      <w:tr>
        <w:tc>
          <w:tcPr>
            <w:tcW w:type="dxa" w:w="3120"/>
            <w:tcBorders>
              <w:top w:val="single" w:color="CCCCCC" w:sz="1"/>
              <w:left w:val="single" w:color="CCCCCC" w:sz="1"/>
              <w:bottom w:val="single" w:color="CCCCCC" w:sz="1"/>
              <w:right w:val="single" w:color="CCCCCC" w:sz="1"/>
            </w:tcBorders>
            <w:shd w:fill="F2F2F2" w:val="clear"/>
          </w:tcPr>
          <w:p>
            <w:r>
              <w:t xml:space="preserve">XRF Gold Testing (Branch)</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color w:val="2E8B57"/>
              </w:rPr>
              <w:t xml:space="preserve">HIGH</w:t>
            </w:r>
          </w:p>
        </w:tc>
        <w:tc>
          <w:tcPr>
            <w:tcW w:type="dxa" w:w="3900"/>
            <w:tcBorders>
              <w:top w:val="single" w:color="CCCCCC" w:sz="1"/>
              <w:left w:val="single" w:color="CCCCCC" w:sz="1"/>
              <w:bottom w:val="single" w:color="CCCCCC" w:sz="1"/>
              <w:right w:val="single" w:color="CCCCCC" w:sz="1"/>
            </w:tcBorders>
            <w:shd w:fill="F2F2F2" w:val="clear"/>
          </w:tcPr>
          <w:p>
            <w:r>
              <w:t xml:space="preserve">±0.1% accuracy; fraud detection; RBI compliance</w:t>
            </w:r>
          </w:p>
        </w:tc>
      </w:tr>
      <w:tr>
        <w:tc>
          <w:tcPr>
            <w:tcW w:type="dxa" w:w="3120"/>
            <w:tcBorders>
              <w:top w:val="single" w:color="CCCCCC" w:sz="1"/>
              <w:left w:val="single" w:color="CCCCCC" w:sz="1"/>
              <w:bottom w:val="single" w:color="CCCCCC" w:sz="1"/>
              <w:right w:val="single" w:color="CCCCCC" w:sz="1"/>
            </w:tcBorders>
          </w:tcPr>
          <w:p>
            <w:r>
              <w:t xml:space="preserve">Portable Karat Meters</w:t>
            </w:r>
          </w:p>
        </w:tc>
        <w:tc>
          <w:tcPr>
            <w:tcW w:type="dxa" w:w="2340"/>
            <w:tcBorders>
              <w:top w:val="single" w:color="CCCCCC" w:sz="1"/>
              <w:left w:val="single" w:color="CCCCCC" w:sz="1"/>
              <w:bottom w:val="single" w:color="CCCCCC" w:sz="1"/>
              <w:right w:val="single" w:color="CCCCCC" w:sz="1"/>
            </w:tcBorders>
          </w:tcPr>
          <w:p>
            <w:pPr>
              <w:jc w:val="center"/>
            </w:pPr>
            <w:r>
              <w:rPr>
                <w:b/>
                <w:bCs/>
                <w:color w:val="FFA500"/>
              </w:rPr>
              <w:t xml:space="preserve">MEDIUM</w:t>
            </w:r>
          </w:p>
        </w:tc>
        <w:tc>
          <w:tcPr>
            <w:tcW w:type="dxa" w:w="3900"/>
            <w:tcBorders>
              <w:top w:val="single" w:color="CCCCCC" w:sz="1"/>
              <w:left w:val="single" w:color="CCCCCC" w:sz="1"/>
              <w:bottom w:val="single" w:color="CCCCCC" w:sz="1"/>
              <w:right w:val="single" w:color="CCCCCC" w:sz="1"/>
            </w:tcBorders>
          </w:tcPr>
          <w:p>
            <w:r>
              <w:t xml:space="preserve">Enables doorstep; lower accuracy but fast; field-tested</w:t>
            </w:r>
          </w:p>
        </w:tc>
      </w:tr>
      <w:tr>
        <w:tc>
          <w:tcPr>
            <w:tcW w:type="dxa" w:w="3120"/>
            <w:tcBorders>
              <w:top w:val="single" w:color="CCCCCC" w:sz="1"/>
              <w:left w:val="single" w:color="CCCCCC" w:sz="1"/>
              <w:bottom w:val="single" w:color="CCCCCC" w:sz="1"/>
              <w:right w:val="single" w:color="CCCCCC" w:sz="1"/>
            </w:tcBorders>
            <w:shd w:fill="F2F2F2" w:val="clear"/>
          </w:tcPr>
          <w:p>
            <w:r>
              <w:t xml:space="preserve">Full Doorstep Digital</w:t>
            </w:r>
          </w:p>
        </w:tc>
        <w:tc>
          <w:tcPr>
            <w:tcW w:type="dxa" w:w="2340"/>
            <w:tcBorders>
              <w:top w:val="single" w:color="CCCCCC" w:sz="1"/>
              <w:left w:val="single" w:color="CCCCCC" w:sz="1"/>
              <w:bottom w:val="single" w:color="CCCCCC" w:sz="1"/>
              <w:right w:val="single" w:color="CCCCCC" w:sz="1"/>
            </w:tcBorders>
            <w:shd w:fill="F2F2F2" w:val="clear"/>
          </w:tcPr>
          <w:p>
            <w:pPr>
              <w:jc w:val="center"/>
            </w:pPr>
            <w:r>
              <w:rPr>
                <w:b/>
                <w:bCs/>
                <w:color w:val="C00000"/>
              </w:rPr>
              <w:t xml:space="preserve">LOW</w:t>
            </w:r>
          </w:p>
        </w:tc>
        <w:tc>
          <w:tcPr>
            <w:tcW w:type="dxa" w:w="3900"/>
            <w:tcBorders>
              <w:top w:val="single" w:color="CCCCCC" w:sz="1"/>
              <w:left w:val="single" w:color="CCCCCC" w:sz="1"/>
              <w:bottom w:val="single" w:color="CCCCCC" w:sz="1"/>
              <w:right w:val="single" w:color="CCCCCC" w:sz="1"/>
            </w:tcBorders>
            <w:shd w:fill="F2F2F2" w:val="clear"/>
          </w:tcPr>
          <w:p>
            <w:r>
              <w:t xml:space="preserve">High cost; logistics complexity; limited scalability</w:t>
            </w:r>
          </w:p>
        </w:tc>
      </w:tr>
    </w:tbl>
    <w:p>
      <w:r>
        <w:br w:type="page"/>
      </w:r>
    </w:p>
    <w:p>
      <w:pPr>
        <w:pStyle w:val="Heading1"/>
      </w:pPr>
      <w:r>
        <w:t xml:space="preserve">Conclusion</w:t>
      </w:r>
    </w:p>
    <w:p>
      <w:pPr>
        <w:spacing w:after="200"/>
      </w:pPr>
      <w:r>
        <w:t xml:space="preserve">The COVID-19 pandemic accelerated digital transformation in India's gold loan industry, but the winners were not pure-play fintechs. Manappuram and IIFL succeeded by adopting a 'phygital' approach—using digital to enhance rather than replace their physical infrastructure.</w:t>
      </w:r>
    </w:p>
    <w:p>
      <w:pPr>
        <w:pStyle w:val="Heading2"/>
      </w:pPr>
      <w:r>
        <w:t xml:space="preserve">Key Takeaways</w:t>
      </w:r>
    </w:p>
    <w:p>
      <w:pPr>
        <w:pStyle w:val="ListParagraph"/>
        <w:numPr>
          <w:ilvl w:val="0"/>
          <w:numId w:val="3"/>
        </w:numPr>
      </w:pPr>
      <w:r>
        <w:rPr>
          <w:b/>
          <w:bCs/>
        </w:rPr>
        <w:t xml:space="preserve">Gold purity was tested instantly </w:t>
      </w:r>
      <w:r>
        <w:t xml:space="preserve">using portable karat meters at doorstep, with full XRF verification at branch. This two-stage process enabled speed without sacrificing accuracy.</w:t>
      </w:r>
    </w:p>
    <w:p>
      <w:pPr>
        <w:pStyle w:val="ListParagraph"/>
        <w:numPr>
          <w:ilvl w:val="0"/>
          <w:numId w:val="3"/>
        </w:numPr>
      </w:pPr>
      <w:r>
        <w:rPr>
          <w:b/>
          <w:bCs/>
        </w:rPr>
        <w:t xml:space="preserve">Loans were disbursed immediately </w:t>
      </w:r>
      <w:r>
        <w:t xml:space="preserve">via IMPS—often before the agent left the customer's premises. The 24x7 availability of IMPS was a critical enabler.</w:t>
      </w:r>
    </w:p>
    <w:p>
      <w:pPr>
        <w:pStyle w:val="ListParagraph"/>
        <w:numPr>
          <w:ilvl w:val="0"/>
          <w:numId w:val="3"/>
        </w:numPr>
      </w:pPr>
      <w:r>
        <w:rPr>
          <w:b/>
          <w:bCs/>
        </w:rPr>
        <w:t xml:space="preserve">No explicit minimum ticket size for doorstep </w:t>
      </w:r>
      <w:r>
        <w:t xml:space="preserve">was found, though minimum loan amounts ranged from ₹1,000 (Manappuram) to ₹3,000 (IIFL). Doorstep service was offered as a value-add regardless of amount.</w:t>
      </w:r>
    </w:p>
    <w:p>
      <w:pPr>
        <w:pStyle w:val="ListParagraph"/>
        <w:numPr>
          <w:ilvl w:val="0"/>
          <w:numId w:val="3"/>
        </w:numPr>
      </w:pPr>
      <w:r>
        <w:rPr>
          <w:b/>
          <w:bCs/>
        </w:rPr>
        <w:t xml:space="preserve">Trust was built through </w:t>
      </w:r>
      <w:r>
        <w:t xml:space="preserve">brand reputation (decades of history), insurance guarantees, OTP verification, ID cards, GPS tracking, and transparent in-home valuation.</w:t>
      </w:r>
    </w:p>
    <w:p>
      <w:pPr>
        <w:pStyle w:val="ListParagraph"/>
        <w:numPr>
          <w:ilvl w:val="0"/>
          <w:numId w:val="3"/>
        </w:numPr>
      </w:pPr>
      <w:r>
        <w:rPr>
          <w:b/>
          <w:bCs/>
        </w:rPr>
        <w:t xml:space="preserve">Scaling was achieved by </w:t>
      </w:r>
      <w:r>
        <w:t xml:space="preserve">leveraging existing branch networks. Manappuram piloted in Bangalore (5→100 branches), expanded to Chennai, then Delhi/Mumbai, before going pan-India via app. IIFL selectively expanded to 40+ cities where digital adoption was higher.</w:t>
      </w:r>
    </w:p>
    <w:p>
      <w:pPr>
        <w:pStyle w:val="ListParagraph"/>
        <w:numPr>
          <w:ilvl w:val="0"/>
          <w:numId w:val="3"/>
        </w:numPr>
      </w:pPr>
      <w:r>
        <w:rPr>
          <w:b/>
          <w:bCs/>
        </w:rPr>
        <w:t xml:space="preserve">Logistical challenges </w:t>
      </w:r>
      <w:r>
        <w:t xml:space="preserve">(security, testing accuracy, trust, scalability) were overcome by the hybrid model: doorstep convenience with branch-based storage and verification.</w:t>
      </w:r>
    </w:p>
    <w:p>
      <w:pPr>
        <w:spacing w:before="300" w:after="200"/>
      </w:pPr>
      <w:r>
        <w:rPr>
          <w:b/>
          <w:bCs/>
          <w:color w:val="1F4E79"/>
        </w:rPr>
        <w:t xml:space="preserve">The fundamental lesson: </w:t>
      </w:r>
      <w:r>
        <w:t xml:space="preserve">Gold loans cannot be fully digitized—the physical asset requires physical handling. The incumbents' advantage was their existing physical infrastructure (5,000+ branches) on which digital was layered as a convenience enhancement, not a replacement.</w:t>
      </w:r>
    </w:p>
    <w:p>
      <w:pPr>
        <w:pStyle w:val="Heading2"/>
      </w:pPr>
      <w:r>
        <w:t xml:space="preserve">Data Sources</w:t>
      </w:r>
    </w:p>
    <w:p>
      <w:pPr>
        <w:spacing w:after="100"/>
      </w:pPr>
      <w:r>
        <w:rPr>
          <w:b/>
          <w:bCs/>
        </w:rPr>
        <w:t xml:space="preserve">Primary Sources:</w:t>
      </w:r>
    </w:p>
    <w:p>
      <w:pPr>
        <w:pStyle w:val="ListParagraph"/>
        <w:numPr>
          <w:ilvl w:val="0"/>
          <w:numId w:val="3"/>
        </w:numPr>
      </w:pPr>
      <w:r>
        <w:t xml:space="preserve">Manappuram Finance: Official website, Annual Reports, VP Nandakumar statements, OGL portal</w:t>
      </w:r>
    </w:p>
    <w:p>
      <w:pPr>
        <w:pStyle w:val="ListParagraph"/>
        <w:numPr>
          <w:ilvl w:val="0"/>
          <w:numId w:val="3"/>
        </w:numPr>
      </w:pPr>
      <w:r>
        <w:t xml:space="preserve">IIFL Finance: Official website, Digital Gold Loan launch announcements, Saurabh Kumar statements</w:t>
      </w:r>
    </w:p>
    <w:p>
      <w:pPr>
        <w:pStyle w:val="ListParagraph"/>
        <w:numPr>
          <w:ilvl w:val="0"/>
          <w:numId w:val="3"/>
        </w:numPr>
      </w:pPr>
      <w:r>
        <w:t xml:space="preserve">Brainvire Case Study on IIFL app redesign (68% footfall reduction, 39% ticket reduction)</w:t>
      </w:r>
    </w:p>
    <w:p>
      <w:pPr>
        <w:pStyle w:val="ListParagraph"/>
        <w:numPr>
          <w:ilvl w:val="0"/>
          <w:numId w:val="3"/>
        </w:numPr>
      </w:pPr>
      <w:r>
        <w:t xml:space="preserve">Salesforce/Rupeek case study for comparison context</w:t>
      </w:r>
    </w:p>
    <w:p>
      <w:pPr>
        <w:pStyle w:val="ListParagraph"/>
        <w:numPr>
          <w:ilvl w:val="0"/>
          <w:numId w:val="3"/>
        </w:numPr>
      </w:pPr>
      <w:r>
        <w:t xml:space="preserve">Rest of World article on India's digital gold rush</w:t>
      </w:r>
    </w:p>
    <w:p>
      <w:pPr>
        <w:pStyle w:val="ListParagraph"/>
        <w:numPr>
          <w:ilvl w:val="0"/>
          <w:numId w:val="3"/>
        </w:numPr>
      </w:pPr>
      <w:r>
        <w:t xml:space="preserve">Business Standard, ET reports on doorstep gold loan launches</w:t>
      </w:r>
    </w:p>
    <w:p>
      <w:pPr>
        <w:pStyle w:val="ListParagraph"/>
        <w:numPr>
          <w:ilvl w:val="0"/>
          <w:numId w:val="3"/>
        </w:numPr>
      </w:pPr>
      <w:r>
        <w:t xml:space="preserve">Maxsell, Fischer XRF machine specifications for testing equipment context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COVID-Era Digital Gold Loan Deep Dive: Manappuram &amp; IIFL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F4E79"/>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2025-12-22T08:54:53.874Z</dcterms:created>
  <dcterms:modified xsi:type="dcterms:W3CDTF">2025-12-22T08:54:53.875Z</dcterms:modified>
</cp:coreProperties>
</file>

<file path=docProps/custom.xml><?xml version="1.0" encoding="utf-8"?>
<Properties xmlns="http://schemas.openxmlformats.org/officeDocument/2006/custom-properties" xmlns:vt="http://schemas.openxmlformats.org/officeDocument/2006/docPropsVTypes"/>
</file>