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Gold Loan Customer Acquisition Strategy</w:t>
      </w:r>
    </w:p>
    <w:p>
      <w:pPr>
        <w:spacing w:before="200" w:after="400"/>
        <w:jc w:val="center"/>
      </w:pPr>
      <w:r>
        <w:rPr>
          <w:color w:val="4a5568"/>
          <w:sz w:val="28"/>
          <w:szCs w:val="28"/>
        </w:rPr>
        <w:t xml:space="preserve">Targeting Competitor Customers in Tier 1 &amp; 2 Indian Cities</w:t>
      </w:r>
    </w:p>
    <w:p>
      <w:pPr>
        <w:spacing w:before="800"/>
        <w:jc w:val="center"/>
      </w:pPr>
      <w:r>
        <w:rPr>
          <w:color w:val="718096"/>
          <w:sz w:val="24"/>
          <w:szCs w:val="24"/>
        </w:rPr>
        <w:t xml:space="preserve">Product Management Analysis &amp; Strategic Recommendations</w:t>
      </w:r>
    </w:p>
    <w:p>
      <w:pPr>
        <w:spacing w:before="600"/>
        <w:jc w:val="center"/>
      </w:pPr>
      <w:r>
        <w:rPr>
          <w:b/>
          <w:bCs/>
          <w:sz w:val="22"/>
          <w:szCs w:val="22"/>
        </w:rPr>
        <w:t xml:space="preserve">Prepared for: Kotak Mahindra Bank</w:t>
      </w:r>
    </w:p>
    <w:p>
      <w:pPr>
        <w:spacing w:before="200"/>
        <w:jc w:val="center"/>
      </w:pPr>
      <w:r>
        <w:rPr>
          <w:sz w:val="22"/>
          <w:szCs w:val="22"/>
        </w:rPr>
        <w:t xml:space="preserve">Date: December 2025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presents a comprehensive strategy for Kotak Mahindra Bank to acquire gold loan customers from competitors (primarily Muthoot Finance, Manappuram Finance, and other NBFCs/Banks) who reside in Tier 1 and Tier 2 Indian cities. The Indian gold loan market is valued at approximately ₹7.1 lakh crore (2024) and is projected to reach ₹14.19 lakh crore by 2028, representing a massive opportunity.</w:t>
      </w:r>
    </w:p>
    <w:p>
      <w:pPr>
        <w:pStyle w:val="Heading2"/>
      </w:pPr>
      <w:r>
        <w:t xml:space="preserve">Key Strategic Pillars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Data-Driven Customer Identification: </w:t>
      </w:r>
      <w:r>
        <w:t xml:space="preserve">Leverage transaction patterns, bureau data, and AI models to identify existing gold loan customers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Competitive Pricing &amp; Superior Value: </w:t>
      </w:r>
      <w:r>
        <w:t xml:space="preserve">Interest rates starting at 8-10.5% p.a. vs. competitors' 12-24% p.a.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Digital-First Experience: </w:t>
      </w:r>
      <w:r>
        <w:t xml:space="preserve">End-to-end digital journey with doorstep gold pickup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Trust &amp; Security Premium: </w:t>
      </w:r>
      <w:r>
        <w:t xml:space="preserve">Bank-grade security vs. NBFC perception concerns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Balance Transfer Program: </w:t>
      </w:r>
      <w:r>
        <w:t xml:space="preserve">Seamless migration from competitors with top-up benefits</w:t>
      </w:r>
    </w:p>
    <w:p>
      <w:r>
        <w:br w:type="page"/>
      </w:r>
    </w:p>
    <w:p>
      <w:pPr>
        <w:pStyle w:val="Heading1"/>
      </w:pPr>
      <w:r>
        <w:t xml:space="preserve">2. Market Landscape &amp; Opportunity</w:t>
      </w:r>
    </w:p>
    <w:p>
      <w:pPr>
        <w:pStyle w:val="Heading2"/>
      </w:pPr>
      <w:r>
        <w:t xml:space="preserve">2.1 Market Size &amp; Growth</w:t>
      </w:r>
    </w:p>
    <w:p>
      <w:pPr>
        <w:spacing w:after="200"/>
      </w:pPr>
      <w:r>
        <w:t xml:space="preserve">The Indian gold loan market presents an extraordinary opportunity driven by unique cultural and economic factors: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Total Household Gold: </w:t>
      </w:r>
      <w:r>
        <w:t xml:space="preserve">Indian households hold 25,000-34,600 tonnes of gold (approximately $2.4-3.8 trillion), representing ~14% of global gold stock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Current Market Size: </w:t>
      </w:r>
      <w:r>
        <w:t xml:space="preserve">₹13.4 trillion ($151 billion) in gold lending as of June 2024, up 35% YoY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Penetration Gap: </w:t>
      </w:r>
      <w:r>
        <w:t xml:space="preserve">Only ~7% of household gold is currently pledged as collateral; 65% of gold loans still with unorganized sector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Growth Rate: </w:t>
      </w:r>
      <w:r>
        <w:t xml:space="preserve">Gold loans grew 68-71% YoY in FY24, fastest among all consumer loan categories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Market Share: </w:t>
      </w:r>
      <w:r>
        <w:t xml:space="preserve">NBFCs: 61% of organized sector; Banks: 39% (increasing from 36% in 2022)</w:t>
      </w:r>
    </w:p>
    <w:p>
      <w:pPr>
        <w:pStyle w:val="Heading2"/>
      </w:pPr>
      <w:r>
        <w:t xml:space="preserve">2.2 Tier 1 &amp; Tier 2 City Dynamics</w:t>
      </w:r>
    </w:p>
    <w:p>
      <w:pPr>
        <w:spacing w:after="200"/>
      </w:pPr>
      <w:r>
        <w:t xml:space="preserve">Tier 1 and Tier 2 cities present distinct opportunities for gold loan acquisition: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 1 Cities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 2 Cities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Customer Profile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Urban professionals, salaried, MSMEs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Small business owners, traders, farmers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Gold Holdings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Higher value, fewer items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Traditional jewelry, more volume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Competition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Banks + NBFCs (intense)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NBFCs dominant, banks emerging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Digital Readiness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(growing smartphone adoption)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Price Sensitivity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 (value convenience)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(rate-conscious)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Opportunity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Cross-sell to existing customers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New-to-bank acquisition</w:t>
            </w:r>
          </w:p>
        </w:tc>
      </w:tr>
    </w:tbl>
    <w:p>
      <w:pPr>
        <w:pStyle w:val="Heading2"/>
      </w:pPr>
      <w:r>
        <w:t xml:space="preserve">2.3 Key Market Drivers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Rising Gold Prices: </w:t>
      </w:r>
      <w:r>
        <w:t xml:space="preserve">Gold prices surged from ₹55,375 to ₹66,532+ per 10 grams (22 carat), increasing loan eligibility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Shift to Formal Credit: </w:t>
      </w:r>
      <w:r>
        <w:t xml:space="preserve">Customers increasingly prefer organized lenders for transparency and security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Digital Penetration: </w:t>
      </w:r>
      <w:r>
        <w:t xml:space="preserve">High smartphone usage in Tier 2 cities enables digital gold loan services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Changing Perception: </w:t>
      </w:r>
      <w:r>
        <w:t xml:space="preserve">Gold loans now viewed as 'flexible financial tool' rather than 'measure of desperate times'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RBI Regulatory Focus: </w:t>
      </w:r>
      <w:r>
        <w:t xml:space="preserve">Increased scrutiny on NBFCs creating opportunity for compliant bank offerings</w:t>
      </w:r>
    </w:p>
    <w:p>
      <w:r>
        <w:br w:type="page"/>
      </w:r>
    </w:p>
    <w:p>
      <w:pPr>
        <w:pStyle w:val="Heading1"/>
      </w:pPr>
      <w:r>
        <w:t xml:space="preserve">3. Competitor Analysis</w:t>
      </w:r>
    </w:p>
    <w:p>
      <w:pPr>
        <w:pStyle w:val="Heading2"/>
      </w:pPr>
      <w:r>
        <w:t xml:space="preserve">3.1 Key Competitors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0"/>
        <w:gridCol w:w="234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Interest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Max Loan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Differentiator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Muthoot Finance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12-24% p.a.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₹1 Crore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Largest network, 5-min disbursement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Manappuram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12-26% p.a.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₹25 Lakh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Flexible schemes, digital 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IIFL Finance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12-24% p.a.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₹50 Lakh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Digital-first, quick processing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SBI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8.5-9.5% p.a.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₹50 Lakh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Lowest rates, govt bank trust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HDFC Bank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10-17% p.a.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₹50 Lakh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Integrated banking, premium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Kotak Mahindra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8-17% p.a.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₹1.5 Crore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Competitive rates, digital ecosystem</w:t>
            </w:r>
          </w:p>
        </w:tc>
      </w:tr>
    </w:tbl>
    <w:p>
      <w:pPr>
        <w:pStyle w:val="Heading2"/>
      </w:pPr>
      <w:r>
        <w:t xml:space="preserve">3.2 Muthoot Finance Deep Dive</w:t>
      </w:r>
    </w:p>
    <w:p>
      <w:pPr>
        <w:spacing w:after="200"/>
      </w:pPr>
      <w:r>
        <w:t xml:space="preserve">As the largest gold loan NBFC globally with AUM of ₹1.33 lakh crore and 64.6 lakh active customers, Muthoot represents the primary acquisition target: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Strengths: </w:t>
      </w:r>
      <w:r>
        <w:t xml:space="preserve">5,600+ branches, 125+ years of trust, 5-minute loan disbursement, doorstep services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Weaknesses: </w:t>
      </w:r>
      <w:r>
        <w:t xml:space="preserve">Higher interest rates (12-24% p.a.), NBFC regulatory concerns, limited banking services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Customer Profile: </w:t>
      </w:r>
      <w:r>
        <w:t xml:space="preserve">40% of AUM from tickets &gt;₹3 lakh; growing urban customer base</w:t>
      </w:r>
    </w:p>
    <w:p>
      <w:pPr>
        <w:pStyle w:val="Heading2"/>
      </w:pPr>
      <w:r>
        <w:t xml:space="preserve">3.3 Kotak Mahindra Bank Competitive Advantages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Lower Interest Rates: </w:t>
      </w:r>
      <w:r>
        <w:t xml:space="preserve">8-17% p.a. vs NBFCs 12-27% p.a. (savings of 4-10% annually)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Higher Loan Amount: </w:t>
      </w:r>
      <w:r>
        <w:t xml:space="preserve">Up to ₹1.5 crore for existing customers vs ₹25-50 lakh at NBFCs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Bank Security: </w:t>
      </w:r>
      <w:r>
        <w:t xml:space="preserve">RBI-regulated bank with deposit protection vs NBFC risk perception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Integrated Banking: </w:t>
      </w:r>
      <w:r>
        <w:t xml:space="preserve">Seamless integration with savings accounts, credit cards, and other products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Digital Ecosystem: </w:t>
      </w:r>
      <w:r>
        <w:t xml:space="preserve">Kotak 811, mobile banking, and digital disbursement capabilities</w:t>
      </w:r>
    </w:p>
    <w:p>
      <w:r>
        <w:br w:type="page"/>
      </w:r>
    </w:p>
    <w:p>
      <w:pPr>
        <w:pStyle w:val="Heading1"/>
      </w:pPr>
      <w:r>
        <w:t xml:space="preserve">4. Target Customer Psychology &amp; Pain Points</w:t>
      </w:r>
    </w:p>
    <w:p>
      <w:pPr>
        <w:pStyle w:val="Heading2"/>
      </w:pPr>
      <w:r>
        <w:t xml:space="preserve">4.1 Customer Segments</w:t>
      </w:r>
    </w:p>
    <w:p>
      <w:pPr>
        <w:spacing w:after="200"/>
      </w:pPr>
      <w:r>
        <w:t xml:space="preserve">Our target customers are individuals in Tier 1 and Tier 2 cities who have taken gold loans from competitors. They fall into distinct psychographic segments: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30"/>
        <w:gridCol w:w="383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82c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82c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Characteristics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82c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Acquisition Strategy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Emergency Borrowers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Need quick funds for medical, education, unexpected expenses; emotionally attached to gold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Emphasize speed, security, and gold return guarantee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Business Owners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MSME owners needing working capital; repeat borrowers; rate-sensitive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Focus on lower rates, higher loan amounts, flexible repayment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Farmers/Agri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Seasonal credit needs; traditional gold holders; may have multiple small loans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Agricultural loan schemes, local language communication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Women Customers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Primary decision-makers for household gold; security-conscious; relationship-oriented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Women-focused campaigns, female staff, trust messaging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Digital-First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Young professionals; compare rates online; prefer minimal branch visits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Digital journey, instant approval, app-based management</w:t>
            </w:r>
          </w:p>
        </w:tc>
      </w:tr>
    </w:tbl>
    <w:p>
      <w:pPr>
        <w:pStyle w:val="Heading2"/>
      </w:pPr>
      <w:r>
        <w:t xml:space="preserve">4.2 Key Pain Points with Competitors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High Interest Burden: </w:t>
      </w:r>
      <w:r>
        <w:t xml:space="preserve">NBFCs charge 1-1.5% monthly (12-19% p.a.) annualized rates can exceed 24%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Hidden Charges: </w:t>
      </w:r>
      <w:r>
        <w:t xml:space="preserve">Processing fees, valuation charges, foreclosure penalties often not transparently communicated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Security Concerns: </w:t>
      </w:r>
      <w:r>
        <w:t xml:space="preserve">Anxiety about gold safety, especially with smaller NBFCs or local pawnbrokers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Auction Anxiety: </w:t>
      </w:r>
      <w:r>
        <w:t xml:space="preserve">Fear of losing family gold due to auction in case of payment delays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Limited Digital Experience: </w:t>
      </w:r>
      <w:r>
        <w:t xml:space="preserve">Branch-dependent processes, limited online renewal/payment options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Banking Relationship: </w:t>
      </w:r>
      <w:r>
        <w:t xml:space="preserve">NBFCs don't offer integrated banking services (savings, credit cards, investments)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Lower LTV Perception: </w:t>
      </w:r>
      <w:r>
        <w:t xml:space="preserve">Some NBFCs offer lower per-gram rates, reducing loan eligibility</w:t>
      </w:r>
    </w:p>
    <w:p>
      <w:pPr>
        <w:pStyle w:val="Heading2"/>
      </w:pPr>
      <w:r>
        <w:t xml:space="preserve">4.3 Switching Triggers</w:t>
      </w:r>
    </w:p>
    <w:p>
      <w:pPr>
        <w:spacing w:after="100"/>
      </w:pPr>
      <w:r>
        <w:t xml:space="preserve">Research indicates customers switch gold loan providers for these primary reasons:</w:t>
      </w:r>
    </w:p>
    <w:p>
      <w:pPr>
        <w:pStyle w:val="ListParagraph"/>
        <w:numPr>
          <w:ilvl w:val="0"/>
          <w:numId w:val="3"/>
        </w:numPr>
      </w:pPr>
      <w:r>
        <w:t xml:space="preserve">Better interest rates (primary driver)</w:t>
      </w:r>
    </w:p>
    <w:p>
      <w:pPr>
        <w:pStyle w:val="ListParagraph"/>
        <w:numPr>
          <w:ilvl w:val="0"/>
          <w:numId w:val="3"/>
        </w:numPr>
      </w:pPr>
      <w:r>
        <w:t xml:space="preserve">Higher loan amount for same gold</w:t>
      </w:r>
    </w:p>
    <w:p>
      <w:pPr>
        <w:pStyle w:val="ListParagraph"/>
        <w:numPr>
          <w:ilvl w:val="0"/>
          <w:numId w:val="3"/>
        </w:numPr>
      </w:pPr>
      <w:r>
        <w:t xml:space="preserve">Flexible repayment options</w:t>
      </w:r>
    </w:p>
    <w:p>
      <w:pPr>
        <w:pStyle w:val="ListParagraph"/>
        <w:numPr>
          <w:ilvl w:val="0"/>
          <w:numId w:val="3"/>
        </w:numPr>
      </w:pPr>
      <w:r>
        <w:t xml:space="preserve">Trust and security concerns with current provider</w:t>
      </w:r>
    </w:p>
    <w:p>
      <w:pPr>
        <w:pStyle w:val="ListParagraph"/>
        <w:numPr>
          <w:ilvl w:val="0"/>
          <w:numId w:val="3"/>
        </w:numPr>
      </w:pPr>
      <w:r>
        <w:t xml:space="preserve">Poor customer service experience</w:t>
      </w:r>
    </w:p>
    <w:p>
      <w:pPr>
        <w:pStyle w:val="ListParagraph"/>
        <w:numPr>
          <w:ilvl w:val="0"/>
          <w:numId w:val="3"/>
        </w:numPr>
      </w:pPr>
      <w:r>
        <w:t xml:space="preserve">Need for integrated banking relationship</w:t>
      </w:r>
    </w:p>
    <w:p>
      <w:pPr>
        <w:pStyle w:val="ListParagraph"/>
        <w:numPr>
          <w:ilvl w:val="0"/>
          <w:numId w:val="3"/>
        </w:numPr>
      </w:pPr>
      <w:r>
        <w:t xml:space="preserve">Negative experience during renewal/auction</w:t>
      </w:r>
    </w:p>
    <w:p>
      <w:r>
        <w:br w:type="page"/>
      </w:r>
    </w:p>
    <w:p>
      <w:pPr>
        <w:pStyle w:val="Heading1"/>
      </w:pPr>
      <w:r>
        <w:t xml:space="preserve">5. Strategic Approaches</w:t>
      </w:r>
    </w:p>
    <w:p>
      <w:pPr>
        <w:pStyle w:val="Heading2"/>
      </w:pPr>
      <w:r>
        <w:t xml:space="preserve">5.1 Approach 1: AI-Powered Customer Identification &amp; Targeting</w:t>
      </w:r>
    </w:p>
    <w:p>
      <w:pPr>
        <w:spacing w:after="200"/>
      </w:pPr>
      <w:r>
        <w:rPr>
          <w:b/>
          <w:bCs/>
        </w:rPr>
        <w:t xml:space="preserve">Objective: </w:t>
      </w:r>
      <w:r>
        <w:t xml:space="preserve">Identify individuals who have active gold loans with competitors using alternative data signals and predictive modeling.</w:t>
      </w:r>
    </w:p>
    <w:p>
      <w:pPr>
        <w:pStyle w:val="Heading3"/>
      </w:pPr>
      <w:r>
        <w:t xml:space="preserve">Data Signals for Gold Loan Customer Identification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Transaction Pattern Analysis: </w:t>
      </w:r>
      <w:r>
        <w:t xml:space="preserve">Regular payments to Muthoot/Manappuram (via UPI, NEFT, IMPS) visible in account statements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Credit Bureau Data: </w:t>
      </w:r>
      <w:r>
        <w:t xml:space="preserve">CIBIL/Experian records showing gold loan accounts with other institutions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Location Intelligence: </w:t>
      </w:r>
      <w:r>
        <w:t xml:space="preserve">Customers living near high-density gold loan branch clusters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Search &amp; Intent Data: </w:t>
      </w:r>
      <w:r>
        <w:t xml:space="preserve">Customers searching for 'gold loan interest rates', 'gold loan balance transfer'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Social Signals: </w:t>
      </w:r>
      <w:r>
        <w:t xml:space="preserve">Engagement with gold loan content on social media platforms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Demographic Indicators: </w:t>
      </w:r>
      <w:r>
        <w:t xml:space="preserve">Women customers, joint families, small business owners in gold-belt regions</w:t>
      </w:r>
    </w:p>
    <w:p>
      <w:pPr>
        <w:pStyle w:val="Heading2"/>
      </w:pPr>
      <w:r>
        <w:t xml:space="preserve">5.2 Approach 2: Gold Loan Balance Transfer Program</w:t>
      </w:r>
    </w:p>
    <w:p>
      <w:pPr>
        <w:spacing w:after="200"/>
      </w:pPr>
      <w:r>
        <w:rPr>
          <w:b/>
          <w:bCs/>
        </w:rPr>
        <w:t xml:space="preserve">Objective: </w:t>
      </w:r>
      <w:r>
        <w:t xml:space="preserve">Create a seamless migration path for customers with existing gold loans at competitors.</w:t>
      </w:r>
    </w:p>
    <w:p>
      <w:pPr>
        <w:pStyle w:val="Heading3"/>
      </w:pPr>
      <w:r>
        <w:t xml:space="preserve">Program Structure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Pre-Approved Transfer Offers: </w:t>
      </w:r>
      <w:r>
        <w:t xml:space="preserve">Identify high-value targets and send personalized pre-approved offers with guaranteed rate reduction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Zero Processing Fee: </w:t>
      </w:r>
      <w:r>
        <w:t xml:space="preserve">Waive processing fees for balance transfers from identified competitors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Top-Up Benefit: </w:t>
      </w:r>
      <w:r>
        <w:t xml:space="preserve">Offer additional 10-15% top-up over existing loan amount at transfer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Doorstep Gold Pickup: </w:t>
      </w:r>
      <w:r>
        <w:t xml:space="preserve">Facilitate gold redemption from competitor and transfer to Kotak vault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Same-Day Disbursement: </w:t>
      </w:r>
      <w:r>
        <w:t xml:space="preserve">Clear competitor loan and disburse Kotak loan within 24 hours</w:t>
      </w:r>
    </w:p>
    <w:p>
      <w:pPr>
        <w:pStyle w:val="Heading2"/>
      </w:pPr>
      <w:r>
        <w:t xml:space="preserve">5.3 Approach 3: Integrated Banking Value Proposition</w:t>
      </w:r>
    </w:p>
    <w:p>
      <w:pPr>
        <w:spacing w:after="200"/>
      </w:pPr>
      <w:r>
        <w:rPr>
          <w:b/>
          <w:bCs/>
        </w:rPr>
        <w:t xml:space="preserve">Objective: </w:t>
      </w:r>
      <w:r>
        <w:t xml:space="preserve">Differentiate from NBFCs by offering comprehensive banking relationship.</w:t>
      </w:r>
    </w:p>
    <w:p>
      <w:pPr>
        <w:pStyle w:val="Heading3"/>
      </w:pPr>
      <w:r>
        <w:t xml:space="preserve">Bundle Offerings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Gold Loan + Savings Account: </w:t>
      </w:r>
      <w:r>
        <w:t xml:space="preserve">2% additional interest on savings for gold loan customers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Gold Loan + Credit Card: </w:t>
      </w:r>
      <w:r>
        <w:t xml:space="preserve">Pre-approved credit card with cashback on gold loan EMI payments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Gold Loan + Insurance: </w:t>
      </w:r>
      <w:r>
        <w:t xml:space="preserve">Free gold loan protection insurance covering gold value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Gold Loan + Investment: </w:t>
      </w:r>
      <w:r>
        <w:t xml:space="preserve">Systematic Gold Savings Plan (SGSP) for future jewelry purchases</w:t>
      </w:r>
    </w:p>
    <w:p>
      <w:pPr>
        <w:pStyle w:val="Heading2"/>
      </w:pPr>
      <w:r>
        <w:t xml:space="preserve">5.4 Approach 4: Hyper-Local Marketing &amp; Partnerships</w:t>
      </w:r>
    </w:p>
    <w:p>
      <w:pPr>
        <w:spacing w:after="200"/>
      </w:pPr>
      <w:r>
        <w:rPr>
          <w:b/>
          <w:bCs/>
        </w:rPr>
        <w:t xml:space="preserve">Objective: </w:t>
      </w:r>
      <w:r>
        <w:t xml:space="preserve">Establish presence in gold-heavy geographies and build trust through local partnerships.</w:t>
      </w:r>
    </w:p>
    <w:p>
      <w:pPr>
        <w:pStyle w:val="Heading3"/>
      </w:pPr>
      <w:r>
        <w:t xml:space="preserve">Channel Strategy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Jeweler Partnerships: </w:t>
      </w:r>
      <w:r>
        <w:t xml:space="preserve">Partner with trusted local jewelers for referrals; jeweler benefits from customer footfall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Temple/Religious Trust Tie-ups: </w:t>
      </w:r>
      <w:r>
        <w:t xml:space="preserve">Gold loan desks near major temples in South India and devotee-heavy locations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Trade Association Partnerships: </w:t>
      </w:r>
      <w:r>
        <w:t xml:space="preserve">MSME associations, textile traders, agriculture mandis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Festival Season Campaigns: </w:t>
      </w:r>
      <w:r>
        <w:t xml:space="preserve">Akshaya Tritiya, Diwali, Dhanteras-focused offers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Competitor Branch Targeting: </w:t>
      </w:r>
      <w:r>
        <w:t xml:space="preserve">Outdoor advertising within 500m radius of Muthoot/Manappuram branches</w:t>
      </w:r>
    </w:p>
    <w:p>
      <w:r>
        <w:br w:type="page"/>
      </w:r>
    </w:p>
    <w:p>
      <w:pPr>
        <w:pStyle w:val="Heading1"/>
      </w:pPr>
      <w:r>
        <w:t xml:space="preserve">6. AI-Powered Solutions Framework</w:t>
      </w:r>
    </w:p>
    <w:p>
      <w:pPr>
        <w:pStyle w:val="Heading2"/>
      </w:pPr>
      <w:r>
        <w:t xml:space="preserve">6.1 Predictive Customer Identification Model</w:t>
      </w:r>
    </w:p>
    <w:p>
      <w:pPr>
        <w:spacing w:after="200"/>
      </w:pPr>
      <w:r>
        <w:t xml:space="preserve">Build an ML model to identify customers most likely to have existing gold loans with competitors: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Predictive Signal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Transaction Patterns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UPI/NEFT to Muthoot, Manappuram; EMI-like periodic 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Direct gold loan customer indicator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Bureau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Gold loan accounts, payment history, outstanding amounts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Confirmed competitor customer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Demographics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Age 35-55, married, South India, Tier 2 cities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High gold ownership probability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Account Behavior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Regular savings, occasional large withdrawals, seasonal patterns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Working capital/emergency need pattern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Digital Footprint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Gold loan rate searches, competitor app installs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Active gold loan user/seeker</w:t>
            </w:r>
          </w:p>
        </w:tc>
      </w:tr>
    </w:tbl>
    <w:p>
      <w:pPr>
        <w:pStyle w:val="Heading2"/>
      </w:pPr>
      <w:r>
        <w:t xml:space="preserve">6.2 Propensity-to-Switch Model</w:t>
      </w:r>
    </w:p>
    <w:p>
      <w:pPr>
        <w:spacing w:after="200"/>
      </w:pPr>
      <w:r>
        <w:t xml:space="preserve">Once gold loan customers are identified, score them on likelihood to switch: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Loan Maturity Timing: </w:t>
      </w:r>
      <w:r>
        <w:t xml:space="preserve">Customers approaching loan renewal dates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Payment Behavior: </w:t>
      </w:r>
      <w:r>
        <w:t xml:space="preserve">Regular payers with clean track record (good candidates)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Interest Rate Sensitivity: </w:t>
      </w:r>
      <w:r>
        <w:t xml:space="preserve">Customers showing price comparison behavior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Digital Engagement: </w:t>
      </w:r>
      <w:r>
        <w:t xml:space="preserve">High mobile banking usage indicates digital-first preference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Cross-Sell History: </w:t>
      </w:r>
      <w:r>
        <w:t xml:space="preserve">Customers who have responded to previous offers</w:t>
      </w:r>
    </w:p>
    <w:p>
      <w:pPr>
        <w:pStyle w:val="Heading2"/>
      </w:pPr>
      <w:r>
        <w:t xml:space="preserve">6.3 AI-Powered Gold Valuation</w:t>
      </w:r>
    </w:p>
    <w:p>
      <w:pPr>
        <w:spacing w:after="200"/>
      </w:pPr>
      <w:r>
        <w:t xml:space="preserve">Implement computer vision and ML for faster, more accurate gold valuation: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Image-Based Pre-Assessment: </w:t>
      </w:r>
      <w:r>
        <w:t xml:space="preserve">Customer uploads gold images for preliminary valuation estimate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XRF Integration: </w:t>
      </w:r>
      <w:r>
        <w:t xml:space="preserve">AI-enhanced purity testing for consistent, tamper-proof results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Real-Time Market Pricing: </w:t>
      </w:r>
      <w:r>
        <w:t xml:space="preserve">Dynamic LTV calculation based on live gold prices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Fraud Detection: </w:t>
      </w:r>
      <w:r>
        <w:t xml:space="preserve">ML models to identify counterfeit or low-quality gold</w:t>
      </w:r>
    </w:p>
    <w:p>
      <w:pPr>
        <w:pStyle w:val="Heading2"/>
      </w:pPr>
      <w:r>
        <w:t xml:space="preserve">6.4 Personalized Communication Engine</w:t>
      </w:r>
    </w:p>
    <w:p>
      <w:pPr>
        <w:spacing w:after="200"/>
      </w:pPr>
      <w:r>
        <w:t xml:space="preserve">Deploy Gen-AI for hyper-personalized customer outreach: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Dynamic Offer Generation: </w:t>
      </w:r>
      <w:r>
        <w:t xml:space="preserve">Personalized rate quotes based on customer profile and competitor analysis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Multilingual Communication: </w:t>
      </w:r>
      <w:r>
        <w:t xml:space="preserve">Regional language SMS, WhatsApp, and IVR in Hindi, Tamil, Telugu, Malayalam, Kannada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Optimal Timing: </w:t>
      </w:r>
      <w:r>
        <w:t xml:space="preserve">AI determines best time to reach each customer based on engagement patterns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Conversational AI: </w:t>
      </w:r>
      <w:r>
        <w:t xml:space="preserve">WhatsApp chatbot for instant queries, eligibility checks, and appointment booking</w:t>
      </w:r>
    </w:p>
    <w:p>
      <w:pPr>
        <w:pStyle w:val="Heading2"/>
      </w:pPr>
      <w:r>
        <w:t xml:space="preserve">6.5 Customer 360° View Dashboard</w:t>
      </w:r>
    </w:p>
    <w:p>
      <w:pPr>
        <w:spacing w:after="200"/>
      </w:pPr>
      <w:r>
        <w:t xml:space="preserve">Create unified customer intelligence platform for sales teams: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Single View: </w:t>
      </w:r>
      <w:r>
        <w:t xml:space="preserve">All customer interactions, products, and propensity scores in one dashboard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Lead Scoring: </w:t>
      </w:r>
      <w:r>
        <w:t xml:space="preserve">Real-time lead prioritization for branch and tele-sales teams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Next-Best-Action: </w:t>
      </w:r>
      <w:r>
        <w:t xml:space="preserve">AI recommendations for optimal offer and channel for each customer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Performance Analytics: </w:t>
      </w:r>
      <w:r>
        <w:t xml:space="preserve">Conversion tracking by campaign, channel, geography, and agent</w:t>
      </w:r>
    </w:p>
    <w:p>
      <w:r>
        <w:br w:type="page"/>
      </w:r>
    </w:p>
    <w:p>
      <w:pPr>
        <w:pStyle w:val="Heading1"/>
      </w:pPr>
      <w:r>
        <w:t xml:space="preserve">7. Implementation Roadmap</w:t>
      </w:r>
    </w:p>
    <w:p>
      <w:pPr>
        <w:pStyle w:val="Heading2"/>
      </w:pPr>
      <w:r>
        <w:t xml:space="preserve">7.1 Phase 1: Foundation (Months 1-3)</w:t>
      </w:r>
    </w:p>
    <w:p>
      <w:pPr>
        <w:pStyle w:val="ListParagraph"/>
        <w:numPr>
          <w:ilvl w:val="0"/>
          <w:numId w:val="3"/>
        </w:numPr>
      </w:pPr>
      <w:r>
        <w:t xml:space="preserve">Build data infrastructure and integrate credit bureau feeds</w:t>
      </w:r>
    </w:p>
    <w:p>
      <w:pPr>
        <w:pStyle w:val="ListParagraph"/>
        <w:numPr>
          <w:ilvl w:val="0"/>
          <w:numId w:val="3"/>
        </w:numPr>
      </w:pPr>
      <w:r>
        <w:t xml:space="preserve">Develop gold loan customer identification ML model</w:t>
      </w:r>
    </w:p>
    <w:p>
      <w:pPr>
        <w:pStyle w:val="ListParagraph"/>
        <w:numPr>
          <w:ilvl w:val="0"/>
          <w:numId w:val="3"/>
        </w:numPr>
      </w:pPr>
      <w:r>
        <w:t xml:space="preserve">Design balance transfer program and pricing strategy</w:t>
      </w:r>
    </w:p>
    <w:p>
      <w:pPr>
        <w:pStyle w:val="ListParagraph"/>
        <w:numPr>
          <w:ilvl w:val="0"/>
          <w:numId w:val="3"/>
        </w:numPr>
      </w:pPr>
      <w:r>
        <w:t xml:space="preserve">Train branch staff on competitor customer acquisition</w:t>
      </w:r>
    </w:p>
    <w:p>
      <w:pPr>
        <w:pStyle w:val="ListParagraph"/>
        <w:numPr>
          <w:ilvl w:val="0"/>
          <w:numId w:val="3"/>
        </w:numPr>
      </w:pPr>
      <w:r>
        <w:t xml:space="preserve">Launch pilot in 3 high-potential Tier 2 cities</w:t>
      </w:r>
    </w:p>
    <w:p>
      <w:pPr>
        <w:pStyle w:val="Heading2"/>
      </w:pPr>
      <w:r>
        <w:t xml:space="preserve">7.2 Phase 2: Scale (Months 4-6)</w:t>
      </w:r>
    </w:p>
    <w:p>
      <w:pPr>
        <w:pStyle w:val="ListParagraph"/>
        <w:numPr>
          <w:ilvl w:val="0"/>
          <w:numId w:val="3"/>
        </w:numPr>
      </w:pPr>
      <w:r>
        <w:t xml:space="preserve">Deploy propensity-to-switch model</w:t>
      </w:r>
    </w:p>
    <w:p>
      <w:pPr>
        <w:pStyle w:val="ListParagraph"/>
        <w:numPr>
          <w:ilvl w:val="0"/>
          <w:numId w:val="3"/>
        </w:numPr>
      </w:pPr>
      <w:r>
        <w:t xml:space="preserve">Launch digital marketing campaigns targeting competitor customers</w:t>
      </w:r>
    </w:p>
    <w:p>
      <w:pPr>
        <w:pStyle w:val="ListParagraph"/>
        <w:numPr>
          <w:ilvl w:val="0"/>
          <w:numId w:val="3"/>
        </w:numPr>
      </w:pPr>
      <w:r>
        <w:t xml:space="preserve">Implement doorstep gold pickup service</w:t>
      </w:r>
    </w:p>
    <w:p>
      <w:pPr>
        <w:pStyle w:val="ListParagraph"/>
        <w:numPr>
          <w:ilvl w:val="0"/>
          <w:numId w:val="3"/>
        </w:numPr>
      </w:pPr>
      <w:r>
        <w:t xml:space="preserve">Expand to 15+ Tier 1 and Tier 2 cities</w:t>
      </w:r>
    </w:p>
    <w:p>
      <w:pPr>
        <w:pStyle w:val="ListParagraph"/>
        <w:numPr>
          <w:ilvl w:val="0"/>
          <w:numId w:val="3"/>
        </w:numPr>
      </w:pPr>
      <w:r>
        <w:t xml:space="preserve">Establish jeweler partnership network</w:t>
      </w:r>
    </w:p>
    <w:p>
      <w:pPr>
        <w:pStyle w:val="Heading2"/>
      </w:pPr>
      <w:r>
        <w:t xml:space="preserve">7.3 Phase 3: Optimize (Months 7-12)</w:t>
      </w:r>
    </w:p>
    <w:p>
      <w:pPr>
        <w:pStyle w:val="ListParagraph"/>
        <w:numPr>
          <w:ilvl w:val="0"/>
          <w:numId w:val="3"/>
        </w:numPr>
      </w:pPr>
      <w:r>
        <w:t xml:space="preserve">Launch AI-powered gold valuation and fraud detection</w:t>
      </w:r>
    </w:p>
    <w:p>
      <w:pPr>
        <w:pStyle w:val="ListParagraph"/>
        <w:numPr>
          <w:ilvl w:val="0"/>
          <w:numId w:val="3"/>
        </w:numPr>
      </w:pPr>
      <w:r>
        <w:t xml:space="preserve">Deploy conversational AI for customer engagement</w:t>
      </w:r>
    </w:p>
    <w:p>
      <w:pPr>
        <w:pStyle w:val="ListParagraph"/>
        <w:numPr>
          <w:ilvl w:val="0"/>
          <w:numId w:val="3"/>
        </w:numPr>
      </w:pPr>
      <w:r>
        <w:t xml:space="preserve">Implement integrated banking bundle offers</w:t>
      </w:r>
    </w:p>
    <w:p>
      <w:pPr>
        <w:pStyle w:val="ListParagraph"/>
        <w:numPr>
          <w:ilvl w:val="0"/>
          <w:numId w:val="3"/>
        </w:numPr>
      </w:pPr>
      <w:r>
        <w:t xml:space="preserve">Nationwide rollout across all Tier 1 and Tier 2 cities</w:t>
      </w:r>
    </w:p>
    <w:p>
      <w:pPr>
        <w:pStyle w:val="ListParagraph"/>
        <w:numPr>
          <w:ilvl w:val="0"/>
          <w:numId w:val="3"/>
        </w:numPr>
      </w:pPr>
      <w:r>
        <w:t xml:space="preserve">Continuous model retraining and optimization</w:t>
      </w:r>
    </w:p>
    <w:p>
      <w:r>
        <w:br w:type="page"/>
      </w:r>
    </w:p>
    <w:p>
      <w:pPr>
        <w:pStyle w:val="Heading1"/>
      </w:pPr>
      <w:r>
        <w:t xml:space="preserve">8. Success Metrics &amp; KPIs</w:t>
      </w:r>
    </w:p>
    <w:p>
      <w:pPr>
        <w:pStyle w:val="Heading2"/>
      </w:pPr>
      <w:r>
        <w:t xml:space="preserve">8.1 Primary Success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340"/>
        <w:gridCol w:w="3510"/>
      </w:tblGrid>
      <w:tr>
        <w:trPr>
          <w:tblHeader/>
        </w:trP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12-Month Target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Gold Loan AUM from Competitor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₹3,500-5,000 Cr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Bureau data showing prior gold loans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Balance Transfer Volume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₹1,500 Cr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Loans where source is competitor payoff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New-to-Bank Gold Loan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75,000+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Customers with no prior Kotak relationship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Conversion Rate (Identified → Applied)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8-12%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Leads from AI model converted to applications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Cost of Acquisition (CAC)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&lt;₹3,500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Total marketing + operational cost per customer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Average Ticket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₹4-5 Lakh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Mean loan amount disbursed</w:t>
            </w:r>
          </w:p>
        </w:tc>
      </w:tr>
    </w:tbl>
    <w:p>
      <w:pPr>
        <w:pStyle w:val="Heading2"/>
      </w:pPr>
      <w:r>
        <w:t xml:space="preserve">8.2 Secondary Metrics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Customer NPS: </w:t>
      </w:r>
      <w:r>
        <w:t xml:space="preserve">Net Promoter Score for gold loan customers (Target: 50+)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Digital Adoption Rate: </w:t>
      </w:r>
      <w:r>
        <w:t xml:space="preserve">% of gold loan journeys completed digitally (Target: 60%)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Cross-Sell Ratio: </w:t>
      </w:r>
      <w:r>
        <w:t xml:space="preserve">Average products per gold loan customer (Target: 2.5)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Portfolio Quality: </w:t>
      </w:r>
      <w:r>
        <w:t xml:space="preserve">NPA ratio for gold loan book (Target: &lt;1%)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Model Accuracy: </w:t>
      </w:r>
      <w:r>
        <w:t xml:space="preserve">Precision/Recall of customer identification model (Target: 85%+)</w:t>
      </w:r>
    </w:p>
    <w:p>
      <w:r>
        <w:br w:type="page"/>
      </w:r>
    </w:p>
    <w:p>
      <w:pPr>
        <w:pStyle w:val="Heading1"/>
      </w:pPr>
      <w:r>
        <w:t xml:space="preserve">9. Risks &amp; Mitigation Strategies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 Strategy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Gold Price Volatility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Maintain conservative LTV (65-70%), implement real-time margin call system, offer top-up/payment flexibility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Competitor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Build switching costs through bundled services, superior digital experience, and loyalty programs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Regulatory Changes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Ensure full RBI compliance, invest in KYC/AML systems, maintain transparent auction processes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Fraud 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AI-powered fraud detection, standardized valuation, video documentation of gold receipt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Operational Scalability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Phased rollout, invest in digital infrastructure, partner with established logistics providers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Customer Default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Strong collateral coverage, proactive reminder system, flexible restructuring options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Conclusion &amp; Recommendations</w:t>
      </w:r>
    </w:p>
    <w:p>
      <w:pPr>
        <w:spacing w:after="200"/>
      </w:pPr>
      <w:r>
        <w:t xml:space="preserve">The gold loan market in Tier 1 and Tier 2 Indian cities presents a significant growth opportunity for Kotak Mahindra Bank. With Indian households holding over ₹125 lakh crore worth of gold and only 7% currently monetized, the addressable market is substantial.</w:t>
      </w:r>
    </w:p>
    <w:p>
      <w:pPr>
        <w:spacing w:after="200"/>
      </w:pPr>
      <w:r>
        <w:t xml:space="preserve">Kotak's competitive advantages—lower interest rates, bank-grade security, integrated banking services, and digital capabilities—position it well to acquire customers from NBFCs like Muthoot and Manappuram who are seeking better value and trust.</w:t>
      </w:r>
    </w:p>
    <w:p>
      <w:pPr>
        <w:pStyle w:val="Heading2"/>
      </w:pPr>
      <w:r>
        <w:t xml:space="preserve">Key Recommendations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Invest in AI/ML capabilities </w:t>
      </w:r>
      <w:r>
        <w:t xml:space="preserve">to identify and target competitor customers with precision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Launch aggressive balance transfer program </w:t>
      </w:r>
      <w:r>
        <w:t xml:space="preserve">with zero processing fees and top-up benefits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Build hyper-local presence </w:t>
      </w:r>
      <w:r>
        <w:t xml:space="preserve">through jeweler partnerships and targeted outdoor advertising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Leverage digital channels </w:t>
      </w:r>
      <w:r>
        <w:t xml:space="preserve">for customer acquisition, especially in Tier 2 cities with high smartphone penetration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Differentiate on integrated banking </w:t>
      </w:r>
      <w:r>
        <w:t xml:space="preserve">by bundling gold loans with savings, credit cards, and investment products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Capitalize on RBI's NBFC scrutiny </w:t>
      </w:r>
      <w:r>
        <w:t xml:space="preserve">by positioning Kotak as a compliant, secure alternative</w:t>
      </w:r>
    </w:p>
    <w:p>
      <w:pPr>
        <w:spacing w:before="400"/>
      </w:pPr>
      <w:r>
        <w:rPr>
          <w:b/>
          <w:bCs/>
        </w:rPr>
        <w:t xml:space="preserve">With disciplined execution of this strategy, Kotak can capture 5%+ market share of the organized gold loan market in target cities within 12 months, translating to approximately ₹3,500-5,000 crore in new gold loan AUM.</w:t>
      </w:r>
    </w:p>
    <w:p>
      <w:pPr>
        <w:spacing w:before="60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Confidential |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Kotak Mahindra Bank | Gold Loan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2025-12-21T05:09:03.392Z</dcterms:created>
  <dcterms:modified xsi:type="dcterms:W3CDTF">2025-12-21T05:09:03.393Z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