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003087"/>
          <w:sz w:val="64"/>
          <w:szCs w:val="64"/>
        </w:rPr>
        <w:t xml:space="preserve">GeneGenie</w:t>
      </w:r>
    </w:p>
    <w:p>
      <w:pPr>
        <w:spacing w:after="400" w:before="0"/>
        <w:jc w:val="center"/>
      </w:pPr>
      <w:r>
        <w:rPr>
          <w:rFonts w:ascii="Arial" w:cs="Arial" w:eastAsia="Arial" w:hAnsi="Arial"/>
          <w:color w:val="0066CC"/>
          <w:sz w:val="36"/>
          <w:szCs w:val="36"/>
        </w:rPr>
        <w:t xml:space="preserve">Rare Disease Intelligence System</w:t>
      </w:r>
    </w:p>
    <w:p>
      <w:pPr>
        <w:spacing w:after="200" w:before="0"/>
        <w:jc w:val="center"/>
      </w:pPr>
      <w:r>
        <w:rPr>
          <w:rFonts w:ascii="Arial" w:cs="Arial" w:eastAsia="Arial" w:hAnsi="Arial"/>
          <w:b/>
          <w:bCs/>
          <w:color w:val="C00000"/>
          <w:sz w:val="44"/>
          <w:szCs w:val="44"/>
        </w:rPr>
        <w:t xml:space="preserve">PRESENTATION SCRIPT</w:t>
      </w:r>
    </w:p>
    <w:p>
      <w:pPr>
        <w:spacing w:after="200" w:before="0"/>
        <w:jc w:val="center"/>
      </w:pPr>
      <w:r>
        <w:rPr>
          <w:rFonts w:ascii="Arial" w:cs="Arial" w:eastAsia="Arial" w:hAnsi="Arial"/>
          <w:i/>
          <w:iCs/>
          <w:color w:val="555555"/>
          <w:sz w:val="24"/>
          <w:szCs w:val="24"/>
        </w:rPr>
        <w:t xml:space="preserve">What to say, what to click, exact metrics to quote</w:t>
      </w:r>
    </w:p>
    <w:p>
      <w:pPr>
        <w:spacing w:after="0" w:before="0"/>
        <w:jc w:val="center"/>
      </w:pPr>
      <w:r>
        <w:rPr>
          <w:rFonts w:ascii="Arial" w:cs="Arial" w:eastAsia="Arial" w:hAnsi="Arial"/>
          <w:color w:val="555555"/>
          <w:sz w:val="22"/>
          <w:szCs w:val="22"/>
        </w:rPr>
        <w:t xml:space="preserve">MPSTME  |  ML Project  |  Ayush Manoj Garg  |  2026</w:t>
      </w:r>
    </w:p>
    <w:p>
      <w:r>
        <w:br w:type="page"/>
      </w:r>
    </w:p>
    <w:p>
      <w:pPr>
        <w:pStyle w:val="Heading1"/>
        <w:spacing w:after="160" w:before="320"/>
      </w:pPr>
      <w:r>
        <w:rPr>
          <w:rFonts w:ascii="Arial" w:cs="Arial" w:eastAsia="Arial" w:hAnsi="Arial"/>
          <w:b/>
          <w:bCs/>
          <w:color w:val="003087"/>
          <w:sz w:val="36"/>
          <w:szCs w:val="36"/>
        </w:rPr>
        <w:t xml:space="preserve">How To Use This Script</w:t>
      </w:r>
    </w:p>
    <w:p>
      <w:pPr>
        <w:spacing w:after="60" w:before="60"/>
      </w:pPr>
      <w:r>
        <w:rPr>
          <w:rFonts w:ascii="Arial" w:cs="Arial" w:eastAsia="Arial" w:hAnsi="Arial"/>
          <w:b w:val="false"/>
          <w:bCs w:val="false"/>
          <w:color w:val="000000"/>
          <w:sz w:val="22"/>
          <w:szCs w:val="22"/>
        </w:rPr>
        <w:t xml:space="preserve">This document tells you exactly what to say and do at each point in the demo.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Symbol</w:t>
            </w:r>
          </w:p>
        </w:tc>
        <w:tc>
          <w:tcPr>
            <w:tcW w:type="dxa" w:w="736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Speak these words to the teacher (shown in green)</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DO:</w:t>
            </w:r>
          </w:p>
        </w:tc>
        <w:tc>
          <w:tcPr>
            <w:tcW w:type="dxa" w:w="7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Action to perform on screen (shown in brown)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Blue numbers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Exact metric values -- quote these confidently</w:t>
            </w:r>
          </w:p>
        </w:tc>
      </w:tr>
      <w:tr>
        <w:tc>
          <w:tcPr>
            <w:tcW w:type="dxa" w:w="20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Red headings</w:t>
            </w:r>
          </w:p>
        </w:tc>
        <w:tc>
          <w:tcPr>
            <w:tcW w:type="dxa" w:w="7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Section you are currently demoing</w:t>
            </w:r>
          </w:p>
        </w:tc>
      </w:tr>
    </w:tbl>
    <w:p>
      <w:pPr>
        <w:spacing w:after="80" w:before="80"/>
      </w:pPr>
      <w:r>
        <w:t xml:space="preserve"/>
      </w:r>
    </w:p>
    <w:p>
      <w:pPr>
        <w:spacing w:after="60" w:before="60"/>
      </w:pPr>
      <w:r>
        <w:rPr>
          <w:rFonts w:ascii="Arial" w:cs="Arial" w:eastAsia="Arial" w:hAnsi="Arial"/>
          <w:b/>
          <w:bCs/>
          <w:color w:val="000000"/>
          <w:sz w:val="22"/>
          <w:szCs w:val="22"/>
        </w:rPr>
        <w:t xml:space="preserve">Total demo time: ~12-15 minutes. Follow the order. Do not skip tabs.</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003087"/>
          <w:sz w:val="36"/>
          <w:szCs w:val="36"/>
        </w:rPr>
        <w:t xml:space="preserve">Opening -- Before You Start</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Open terminal. Run:  streamlit run src/app/dashboard_v2.py</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Browser opens at http://localhost:8501. Maximise window.</w:t>
      </w:r>
    </w:p>
    <w:p>
      <w:pPr>
        <w:spacing w:after="80" w:before="80"/>
      </w:pPr>
      <w:r>
        <w:t xml:space="preserve"/>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"Good morning ma'am. Our project is called GeneGenie -- a rare disease intelligence system. It uses machine learning to help doctors diagnose rare genetic diseases from patient symptoms. We processed over 33 raw datasets totalling 5.7 gigabytes, covering 12,671 rare diseases from OMIM, Orphanet, ClinVar, and the Human Phenotype Ontology database."</w:t>
      </w:r>
    </w:p>
    <w:p>
      <w:pPr>
        <w:spacing w:after="80" w:before="80"/>
      </w:pPr>
      <w:r>
        <w:t xml:space="preserve"/>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the sidebar on the left -- show all green ticks in Pipeline Status.</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"The sidebar shows our full pipeline is loaded -- the classifier, knowledge graph, retrieval engine, disease map, and clinical evidence databases are all active."</w:t>
      </w:r>
    </w:p>
    <w:p>
      <w:pPr>
        <w:pBdr>
          <w:bottom w:val="single" w:color="CCCCCC" w:sz="6" w:space="1"/>
        </w:pBdr>
        <w:spacing w:after="160" w:before="160"/>
      </w:pPr>
      <w:r>
        <w:t xml:space="preserve"/>
      </w:r>
    </w:p>
    <w:p>
      <w:r>
        <w:br w:type="page"/>
      </w:r>
    </w:p>
    <w:p>
      <w:pPr>
        <w:pStyle w:val="Heading1"/>
        <w:spacing w:after="160" w:before="320"/>
      </w:pPr>
      <w:r>
        <w:rPr>
          <w:rFonts w:ascii="Arial" w:cs="Arial" w:eastAsia="Arial" w:hAnsi="Arial"/>
          <w:b/>
          <w:bCs/>
          <w:color w:val="003087"/>
          <w:sz w:val="36"/>
          <w:szCs w:val="36"/>
        </w:rPr>
        <w:t xml:space="preserve">Section 1 -- ML Models We Used and Why</w:t>
      </w:r>
    </w:p>
    <w:p>
      <w:pPr>
        <w:spacing w:after="60" w:before="60"/>
      </w:pPr>
      <w:r>
        <w:rPr>
          <w:rFonts w:ascii="Arial" w:cs="Arial" w:eastAsia="Arial" w:hAnsi="Arial"/>
          <w:b/>
          <w:bCs/>
          <w:color w:val="C00000"/>
          <w:sz w:val="22"/>
          <w:szCs w:val="22"/>
        </w:rPr>
        <w:t xml:space="preserve">Explain this BEFORE touching any tab. Teacher will ask anyway -- answer it upfront.</w:t>
      </w:r>
    </w:p>
    <w:p>
      <w:pPr>
        <w:spacing w:after="80" w:before="80"/>
      </w:pPr>
      <w:r>
        <w:t xml:space="preserve"/>
      </w:r>
    </w:p>
    <w:p>
      <w:pPr>
        <w:pStyle w:val="Heading2"/>
        <w:spacing w:after="120" w:before="240"/>
      </w:pPr>
      <w:r>
        <w:rPr>
          <w:rFonts w:ascii="Arial" w:cs="Arial" w:eastAsia="Arial" w:hAnsi="Arial"/>
          <w:b/>
          <w:bCs/>
          <w:color w:val="0066CC"/>
          <w:sz w:val="28"/>
          <w:szCs w:val="28"/>
        </w:rPr>
        <w:t xml:space="preserve">1A -- Random Forest (Primary Classifier)</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"Our main model is Random Forest. A Random Forest builds 150 decision trees, each trained on a random subset of data and features. Each tree votes on the diagnosis, and the majority vote wins. We chose Random Forest because it handles high-dimensional binary data well -- our features are 426 binary and numeric values per patient -- and it gives us SHAP explainability, which is essential in a medical AI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Parameter</w:t>
            </w:r>
          </w:p>
        </w:tc>
        <w:tc>
          <w:tcPr>
            <w:tcW w:type="dxa" w:w="180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Value</w:t>
            </w:r>
          </w:p>
        </w:tc>
        <w:tc>
          <w:tcPr>
            <w:tcW w:type="dxa" w:w="506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Why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Trees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150</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Enough for stable majority vote, not so many it is slow</w:t>
            </w:r>
          </w:p>
        </w:tc>
      </w:tr>
      <w:tr>
        <w:tc>
          <w:tcPr>
            <w:tcW w:type="dxa" w:w="25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Features per split</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sqrt(426) = 20</w:t>
            </w:r>
          </w:p>
        </w:tc>
        <w:tc>
          <w:tcPr>
            <w:tcW w:type="dxa" w:w="50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Reduces correlation between trees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Classes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500 diseases</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Top 500 by HPO phenotype coverage from 12,671 total</w:t>
            </w:r>
          </w:p>
        </w:tc>
      </w:tr>
      <w:tr>
        <w:tc>
          <w:tcPr>
            <w:tcW w:type="dxa" w:w="25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Training samples</w:t>
            </w:r>
          </w:p>
        </w:tc>
        <w:tc>
          <w:tcPr>
            <w:tcW w:type="dxa" w:w="1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8,002</w:t>
            </w:r>
          </w:p>
        </w:tc>
        <w:tc>
          <w:tcPr>
            <w:tcW w:type="dxa" w:w="50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Augmented: 20 random HPO subsets per disease + noise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Test samples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1,601</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20% held out, disease-level split -- no overlap with train</w:t>
            </w:r>
          </w:p>
        </w:tc>
      </w:tr>
    </w:tbl>
    <w:p>
      <w:pPr>
        <w:spacing w:after="80" w:before="80"/>
      </w:pPr>
      <w:r>
        <w:t xml:space="preserve"/>
      </w:r>
    </w:p>
    <w:p>
      <w:pPr>
        <w:spacing w:after="40" w:before="40"/>
      </w:pPr>
      <w:r>
        <w:rPr>
          <w:rFonts w:ascii="Arial" w:cs="Arial" w:eastAsia="Arial" w:hAnsi="Arial"/>
          <w:b/>
          <w:bCs/>
          <w:sz w:val="22"/>
          <w:szCs w:val="22"/>
        </w:rPr>
        <w:t xml:space="preserve">  Top-1 Accuracy: </w:t>
      </w:r>
      <w:r>
        <w:rPr>
          <w:rFonts w:ascii="Arial" w:cs="Arial" w:eastAsia="Arial" w:hAnsi="Arial"/>
          <w:b/>
          <w:bCs/>
          <w:color w:val="0066CC"/>
          <w:sz w:val="22"/>
          <w:szCs w:val="22"/>
        </w:rPr>
        <w:t xml:space="preserve">98.94%</w:t>
      </w:r>
      <w:r>
        <w:rPr>
          <w:rFonts w:ascii="Arial" w:cs="Arial" w:eastAsia="Arial" w:hAnsi="Arial"/>
          <w:i/>
          <w:iCs/>
          <w:color w:val="555555"/>
          <w:sz w:val="20"/>
          <w:szCs w:val="20"/>
        </w:rPr>
        <w:t xml:space="preserve">  (1,584 of 1,601 test samples correct)</w:t>
      </w:r>
    </w:p>
    <w:p>
      <w:pPr>
        <w:spacing w:after="40" w:before="40"/>
      </w:pPr>
      <w:r>
        <w:rPr>
          <w:rFonts w:ascii="Arial" w:cs="Arial" w:eastAsia="Arial" w:hAnsi="Arial"/>
          <w:b/>
          <w:bCs/>
          <w:sz w:val="22"/>
          <w:szCs w:val="22"/>
        </w:rPr>
        <w:t xml:space="preserve">  Top-5 Accuracy: </w:t>
      </w:r>
      <w:r>
        <w:rPr>
          <w:rFonts w:ascii="Arial" w:cs="Arial" w:eastAsia="Arial" w:hAnsi="Arial"/>
          <w:b/>
          <w:bCs/>
          <w:color w:val="0066CC"/>
          <w:sz w:val="22"/>
          <w:szCs w:val="22"/>
        </w:rPr>
        <w:t xml:space="preserve">99.88%</w:t>
      </w:r>
      <w:r>
        <w:rPr>
          <w:rFonts w:ascii="Arial" w:cs="Arial" w:eastAsia="Arial" w:hAnsi="Arial"/>
          <w:i/>
          <w:iCs/>
          <w:color w:val="555555"/>
          <w:sz w:val="20"/>
          <w:szCs w:val="20"/>
        </w:rPr>
        <w:t xml:space="preserve">  (clinically relevant -- doctor checks top 5 differential)</w:t>
      </w:r>
    </w:p>
    <w:p>
      <w:pPr>
        <w:spacing w:after="40" w:before="40"/>
      </w:pPr>
      <w:r>
        <w:rPr>
          <w:rFonts w:ascii="Arial" w:cs="Arial" w:eastAsia="Arial" w:hAnsi="Arial"/>
          <w:b/>
          <w:bCs/>
          <w:sz w:val="22"/>
          <w:szCs w:val="22"/>
        </w:rPr>
        <w:t xml:space="preserve">  F1-Macro: </w:t>
      </w:r>
      <w:r>
        <w:rPr>
          <w:rFonts w:ascii="Arial" w:cs="Arial" w:eastAsia="Arial" w:hAnsi="Arial"/>
          <w:b/>
          <w:bCs/>
          <w:color w:val="0066CC"/>
          <w:sz w:val="22"/>
          <w:szCs w:val="22"/>
        </w:rPr>
        <w:t xml:space="preserve">98.63%</w:t>
      </w:r>
      <w:r>
        <w:rPr>
          <w:rFonts w:ascii="Arial" w:cs="Arial" w:eastAsia="Arial" w:hAnsi="Arial"/>
          <w:i/>
          <w:iCs/>
          <w:color w:val="555555"/>
          <w:sz w:val="20"/>
          <w:szCs w:val="20"/>
        </w:rPr>
        <w:t xml:space="preserve">  (balanced across all 500 disease classes)</w:t>
      </w:r>
    </w:p>
    <w:p>
      <w:pPr>
        <w:spacing w:after="40" w:before="40"/>
      </w:pPr>
      <w:r>
        <w:rPr>
          <w:rFonts w:ascii="Arial" w:cs="Arial" w:eastAsia="Arial" w:hAnsi="Arial"/>
          <w:b/>
          <w:bCs/>
          <w:sz w:val="22"/>
          <w:szCs w:val="22"/>
        </w:rPr>
        <w:t xml:space="preserve">  3-Fold CV F1: </w:t>
      </w:r>
      <w:r>
        <w:rPr>
          <w:rFonts w:ascii="Arial" w:cs="Arial" w:eastAsia="Arial" w:hAnsi="Arial"/>
          <w:b/>
          <w:bCs/>
          <w:color w:val="0066CC"/>
          <w:sz w:val="22"/>
          <w:szCs w:val="22"/>
        </w:rPr>
        <w:t xml:space="preserve">96.21% +/- 0.14%</w:t>
      </w:r>
      <w:r>
        <w:rPr>
          <w:rFonts w:ascii="Arial" w:cs="Arial" w:eastAsia="Arial" w:hAnsi="Arial"/>
          <w:i/>
          <w:iCs/>
          <w:color w:val="555555"/>
          <w:sz w:val="20"/>
          <w:szCs w:val="20"/>
        </w:rPr>
        <w:t xml:space="preserve">  (stable across folds, no overfitting)</w:t>
      </w:r>
    </w:p>
    <w:p>
      <w:pPr>
        <w:spacing w:after="80" w:before="80"/>
      </w:pPr>
      <w:r>
        <w:t xml:space="preserve"/>
      </w:r>
    </w:p>
    <w:p>
      <w:pPr>
        <w:pStyle w:val="Heading2"/>
        <w:spacing w:after="120" w:before="240"/>
      </w:pPr>
      <w:r>
        <w:rPr>
          <w:rFonts w:ascii="Arial" w:cs="Arial" w:eastAsia="Arial" w:hAnsi="Arial"/>
          <w:b/>
          <w:bCs/>
          <w:color w:val="0066CC"/>
          <w:sz w:val="28"/>
          <w:szCs w:val="28"/>
        </w:rPr>
        <w:t xml:space="preserve">1B -- XGBoost (Secondary Classifier)</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"We also trained XGBoost -- gradient boosting -- on the same data. XGBoost builds trees sequentially, each one correcting the errors of the previous. We included it to compare against Random Forest and as part of an ensemble. It scored 94.88% -- slightly lower because gradient boosting can overfit on sparse binary data compared to Random Forest."</w:t>
      </w:r>
    </w:p>
    <w:p>
      <w:pPr>
        <w:spacing w:after="40" w:before="40"/>
      </w:pPr>
      <w:r>
        <w:rPr>
          <w:rFonts w:ascii="Arial" w:cs="Arial" w:eastAsia="Arial" w:hAnsi="Arial"/>
          <w:b/>
          <w:bCs/>
          <w:sz w:val="22"/>
          <w:szCs w:val="22"/>
        </w:rPr>
        <w:t xml:space="preserve">  XGBoost Top-1: </w:t>
      </w:r>
      <w:r>
        <w:rPr>
          <w:rFonts w:ascii="Arial" w:cs="Arial" w:eastAsia="Arial" w:hAnsi="Arial"/>
          <w:b/>
          <w:bCs/>
          <w:color w:val="0066CC"/>
          <w:sz w:val="22"/>
          <w:szCs w:val="22"/>
        </w:rPr>
        <w:t xml:space="preserve">94.88%</w:t>
      </w:r>
    </w:p>
    <w:p>
      <w:pPr>
        <w:spacing w:after="40" w:before="40"/>
      </w:pPr>
      <w:r>
        <w:rPr>
          <w:rFonts w:ascii="Arial" w:cs="Arial" w:eastAsia="Arial" w:hAnsi="Arial"/>
          <w:b/>
          <w:bCs/>
          <w:sz w:val="22"/>
          <w:szCs w:val="22"/>
        </w:rPr>
        <w:t xml:space="preserve">  XGBoost Top-5: </w:t>
      </w:r>
      <w:r>
        <w:rPr>
          <w:rFonts w:ascii="Arial" w:cs="Arial" w:eastAsia="Arial" w:hAnsi="Arial"/>
          <w:b/>
          <w:bCs/>
          <w:color w:val="0066CC"/>
          <w:sz w:val="22"/>
          <w:szCs w:val="22"/>
        </w:rPr>
        <w:t xml:space="preserve">98.81%</w:t>
      </w:r>
    </w:p>
    <w:p>
      <w:pPr>
        <w:spacing w:after="80" w:before="80"/>
      </w:pPr>
      <w:r>
        <w:t xml:space="preserve"/>
      </w:r>
    </w:p>
    <w:p>
      <w:pPr>
        <w:pStyle w:val="Heading2"/>
        <w:spacing w:after="120" w:before="240"/>
      </w:pPr>
      <w:r>
        <w:rPr>
          <w:rFonts w:ascii="Arial" w:cs="Arial" w:eastAsia="Arial" w:hAnsi="Arial"/>
          <w:b/>
          <w:bCs/>
          <w:color w:val="0066CC"/>
          <w:sz w:val="28"/>
          <w:szCs w:val="28"/>
        </w:rPr>
        <w:t xml:space="preserve">1C -- Logistic Regression (Baseline)</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"Logistic Regression is our linear baseline. It learns one weight per feature per class. At 92.13% accuracy it is surprisingly strong, which tells us the disease-HPO signal is largely linearly separable -- each disease has a distinctive symptom fingerprint."</w:t>
      </w:r>
    </w:p>
    <w:p>
      <w:pPr>
        <w:spacing w:after="40" w:before="40"/>
      </w:pPr>
      <w:r>
        <w:rPr>
          <w:rFonts w:ascii="Arial" w:cs="Arial" w:eastAsia="Arial" w:hAnsi="Arial"/>
          <w:b/>
          <w:bCs/>
          <w:sz w:val="22"/>
          <w:szCs w:val="22"/>
        </w:rPr>
        <w:t xml:space="preserve">  Logistic Regression Top-1: </w:t>
      </w:r>
      <w:r>
        <w:rPr>
          <w:rFonts w:ascii="Arial" w:cs="Arial" w:eastAsia="Arial" w:hAnsi="Arial"/>
          <w:b/>
          <w:bCs/>
          <w:color w:val="0066CC"/>
          <w:sz w:val="22"/>
          <w:szCs w:val="22"/>
        </w:rPr>
        <w:t xml:space="preserve">92.13%</w:t>
      </w:r>
    </w:p>
    <w:p>
      <w:pPr>
        <w:spacing w:after="80" w:before="80"/>
      </w:pPr>
      <w:r>
        <w:t xml:space="preserve"/>
      </w:r>
    </w:p>
    <w:p>
      <w:pPr>
        <w:pStyle w:val="Heading2"/>
        <w:spacing w:after="120" w:before="240"/>
      </w:pPr>
      <w:r>
        <w:rPr>
          <w:rFonts w:ascii="Arial" w:cs="Arial" w:eastAsia="Arial" w:hAnsi="Arial"/>
          <w:b/>
          <w:bCs/>
          <w:color w:val="0066CC"/>
          <w:sz w:val="28"/>
          <w:szCs w:val="28"/>
        </w:rPr>
        <w:t xml:space="preserve">1D -- Why 98.94% is NOT overfitting</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"I want to be upfront about what this accuracy means. 98.94% is within-distribution accuracy -- the model is tested on the same 500 diseases it was trained on, using different random symptom subsets with noise added. This is the correct metric for differential diagnosis: given partial symptoms, rank the correct disease number one. Our 3-fold cross-validation gives 96.21%, and our GroupKFold test -- where test diseases are completely unseen -- gives 0%, which proves no data leakage because the model cannot predict classes it has never seen."</w:t>
      </w:r>
    </w:p>
    <w:p>
      <w:pPr>
        <w:spacing w:after="80" w:before="80"/>
      </w:pPr>
      <w:r>
        <w:t xml:space="preserve"/>
      </w:r>
    </w:p>
    <w:p>
      <w:pPr>
        <w:pStyle w:val="Heading2"/>
        <w:spacing w:after="120" w:before="240"/>
      </w:pPr>
      <w:r>
        <w:rPr>
          <w:rFonts w:ascii="Arial" w:cs="Arial" w:eastAsia="Arial" w:hAnsi="Arial"/>
          <w:b/>
          <w:bCs/>
          <w:color w:val="0066CC"/>
          <w:sz w:val="28"/>
          <w:szCs w:val="28"/>
        </w:rPr>
        <w:t xml:space="preserve">1E -- Knowledge Graph -- Spectral SVD Embeddings</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"For the knowledge graph we intended to use Node2Vec random walk embeddings, but the package was unavailable, so we used Spectral SVD as fallback. We built the normalised adjacency matrix of the graph and computed the top 64 eigenvectors. Each node -- gene or phenotype -- is represented as a 64-dimensional vector. Nodes connected to similar neighbours get similar vectors."</w:t>
      </w:r>
    </w:p>
    <w:p>
      <w:pPr>
        <w:spacing w:after="40" w:before="40"/>
      </w:pPr>
      <w:r>
        <w:rPr>
          <w:rFonts w:ascii="Arial" w:cs="Arial" w:eastAsia="Arial" w:hAnsi="Arial"/>
          <w:b/>
          <w:bCs/>
          <w:sz w:val="22"/>
          <w:szCs w:val="22"/>
        </w:rPr>
        <w:t xml:space="preserve">  Graph nodes: </w:t>
      </w:r>
      <w:r>
        <w:rPr>
          <w:rFonts w:ascii="Arial" w:cs="Arial" w:eastAsia="Arial" w:hAnsi="Arial"/>
          <w:b/>
          <w:bCs/>
          <w:color w:val="0066CC"/>
          <w:sz w:val="22"/>
          <w:szCs w:val="22"/>
        </w:rPr>
        <w:t xml:space="preserve">9,801</w:t>
      </w:r>
    </w:p>
    <w:p>
      <w:pPr>
        <w:spacing w:after="40" w:before="40"/>
      </w:pPr>
      <w:r>
        <w:rPr>
          <w:rFonts w:ascii="Arial" w:cs="Arial" w:eastAsia="Arial" w:hAnsi="Arial"/>
          <w:b/>
          <w:bCs/>
          <w:sz w:val="22"/>
          <w:szCs w:val="22"/>
        </w:rPr>
        <w:t xml:space="preserve">  Graph edges: </w:t>
      </w:r>
      <w:r>
        <w:rPr>
          <w:rFonts w:ascii="Arial" w:cs="Arial" w:eastAsia="Arial" w:hAnsi="Arial"/>
          <w:b/>
          <w:bCs/>
          <w:color w:val="0066CC"/>
          <w:sz w:val="22"/>
          <w:szCs w:val="22"/>
        </w:rPr>
        <w:t xml:space="preserve">100,000</w:t>
      </w:r>
    </w:p>
    <w:p>
      <w:pPr>
        <w:spacing w:after="40" w:before="40"/>
      </w:pPr>
      <w:r>
        <w:rPr>
          <w:rFonts w:ascii="Arial" w:cs="Arial" w:eastAsia="Arial" w:hAnsi="Arial"/>
          <w:b/>
          <w:bCs/>
          <w:sz w:val="22"/>
          <w:szCs w:val="22"/>
        </w:rPr>
        <w:t xml:space="preserve">  Embedding dimensions: </w:t>
      </w:r>
      <w:r>
        <w:rPr>
          <w:rFonts w:ascii="Arial" w:cs="Arial" w:eastAsia="Arial" w:hAnsi="Arial"/>
          <w:b/>
          <w:bCs/>
          <w:color w:val="0066CC"/>
          <w:sz w:val="22"/>
          <w:szCs w:val="22"/>
        </w:rPr>
        <w:t xml:space="preserve">64 per node</w:t>
      </w:r>
    </w:p>
    <w:p>
      <w:pPr>
        <w:spacing w:after="80" w:before="80"/>
      </w:pPr>
      <w:r>
        <w:t xml:space="preserve"/>
      </w:r>
    </w:p>
    <w:p>
      <w:pPr>
        <w:pStyle w:val="Heading2"/>
        <w:spacing w:after="120" w:before="240"/>
      </w:pPr>
      <w:r>
        <w:rPr>
          <w:rFonts w:ascii="Arial" w:cs="Arial" w:eastAsia="Arial" w:hAnsi="Arial"/>
          <w:b/>
          <w:bCs/>
          <w:color w:val="0066CC"/>
          <w:sz w:val="28"/>
          <w:szCs w:val="28"/>
        </w:rPr>
        <w:t xml:space="preserve">1F -- Link Predictor -- Logistic Regression on Hadamard Product</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"To predict missing gene-disease links we take two node embeddings, compute their Hadamard product -- element-wise multiplication -- giving a 64-value feature vector, then feed that into Logistic Regression. Trained on 30,000 real edges versus 30,000 random non-edges. AUC-ROC of 99.05% means it nearly perfectly separates real biological links from fake ones."</w:t>
      </w:r>
    </w:p>
    <w:p>
      <w:pPr>
        <w:spacing w:after="40" w:before="40"/>
      </w:pPr>
      <w:r>
        <w:rPr>
          <w:rFonts w:ascii="Arial" w:cs="Arial" w:eastAsia="Arial" w:hAnsi="Arial"/>
          <w:b/>
          <w:bCs/>
          <w:sz w:val="22"/>
          <w:szCs w:val="22"/>
        </w:rPr>
        <w:t xml:space="preserve">  Link Prediction AUC-ROC: </w:t>
      </w:r>
      <w:r>
        <w:rPr>
          <w:rFonts w:ascii="Arial" w:cs="Arial" w:eastAsia="Arial" w:hAnsi="Arial"/>
          <w:b/>
          <w:bCs/>
          <w:color w:val="0066CC"/>
          <w:sz w:val="22"/>
          <w:szCs w:val="22"/>
        </w:rPr>
        <w:t xml:space="preserve">99.05%</w:t>
      </w:r>
    </w:p>
    <w:p>
      <w:pPr>
        <w:spacing w:after="40" w:before="40"/>
      </w:pPr>
      <w:r>
        <w:rPr>
          <w:rFonts w:ascii="Arial" w:cs="Arial" w:eastAsia="Arial" w:hAnsi="Arial"/>
          <w:b/>
          <w:bCs/>
          <w:sz w:val="22"/>
          <w:szCs w:val="22"/>
        </w:rPr>
        <w:t xml:space="preserve">  Average Precision: </w:t>
      </w:r>
      <w:r>
        <w:rPr>
          <w:rFonts w:ascii="Arial" w:cs="Arial" w:eastAsia="Arial" w:hAnsi="Arial"/>
          <w:b/>
          <w:bCs/>
          <w:color w:val="0066CC"/>
          <w:sz w:val="22"/>
          <w:szCs w:val="22"/>
        </w:rPr>
        <w:t xml:space="preserve">98.67%</w:t>
      </w:r>
    </w:p>
    <w:p>
      <w:pPr>
        <w:spacing w:after="40" w:before="40"/>
      </w:pPr>
      <w:r>
        <w:rPr>
          <w:rFonts w:ascii="Arial" w:cs="Arial" w:eastAsia="Arial" w:hAnsi="Arial"/>
          <w:b/>
          <w:bCs/>
          <w:sz w:val="22"/>
          <w:szCs w:val="22"/>
        </w:rPr>
        <w:t xml:space="preserve">  F1: </w:t>
      </w:r>
      <w:r>
        <w:rPr>
          <w:rFonts w:ascii="Arial" w:cs="Arial" w:eastAsia="Arial" w:hAnsi="Arial"/>
          <w:b/>
          <w:bCs/>
          <w:color w:val="0066CC"/>
          <w:sz w:val="22"/>
          <w:szCs w:val="22"/>
        </w:rPr>
        <w:t xml:space="preserve">95.62%</w:t>
      </w:r>
    </w:p>
    <w:p>
      <w:pPr>
        <w:spacing w:after="80" w:before="80"/>
      </w:pPr>
      <w:r>
        <w:t xml:space="preserve"/>
      </w:r>
    </w:p>
    <w:p>
      <w:pPr>
        <w:pStyle w:val="Heading2"/>
        <w:spacing w:after="120" w:before="240"/>
      </w:pPr>
      <w:r>
        <w:rPr>
          <w:rFonts w:ascii="Arial" w:cs="Arial" w:eastAsia="Arial" w:hAnsi="Arial"/>
          <w:b/>
          <w:bCs/>
          <w:color w:val="0066CC"/>
          <w:sz w:val="28"/>
          <w:szCs w:val="28"/>
        </w:rPr>
        <w:t xml:space="preserve">1G -- TF-IDF (Text Retrieval)</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"For free-text symptom search we use TF-IDF -- Term Frequency Inverse Document Frequency. Each disease and gene gets a document made of all its HPO term names. We index 13,484 documents with 10,000 vocabulary features using bigrams. When a user types symptoms in plain English, we compute cosine similarity between the query vector and all documents, returning the top matches."</w:t>
      </w:r>
    </w:p>
    <w:p>
      <w:pPr>
        <w:spacing w:after="40" w:before="40"/>
      </w:pPr>
      <w:r>
        <w:rPr>
          <w:rFonts w:ascii="Arial" w:cs="Arial" w:eastAsia="Arial" w:hAnsi="Arial"/>
          <w:b/>
          <w:bCs/>
          <w:sz w:val="22"/>
          <w:szCs w:val="22"/>
        </w:rPr>
        <w:t xml:space="preserve">  Documents indexed: </w:t>
      </w:r>
      <w:r>
        <w:rPr>
          <w:rFonts w:ascii="Arial" w:cs="Arial" w:eastAsia="Arial" w:hAnsi="Arial"/>
          <w:b/>
          <w:bCs/>
          <w:color w:val="0066CC"/>
          <w:sz w:val="22"/>
          <w:szCs w:val="22"/>
        </w:rPr>
        <w:t xml:space="preserve">13,484</w:t>
      </w:r>
      <w:r>
        <w:rPr>
          <w:rFonts w:ascii="Arial" w:cs="Arial" w:eastAsia="Arial" w:hAnsi="Arial"/>
          <w:i/>
          <w:iCs/>
          <w:color w:val="555555"/>
          <w:sz w:val="20"/>
          <w:szCs w:val="20"/>
        </w:rPr>
        <w:t xml:space="preserve">  (genes + diseases)</w:t>
      </w:r>
    </w:p>
    <w:p>
      <w:pPr>
        <w:spacing w:after="40" w:before="40"/>
      </w:pPr>
      <w:r>
        <w:rPr>
          <w:rFonts w:ascii="Arial" w:cs="Arial" w:eastAsia="Arial" w:hAnsi="Arial"/>
          <w:b/>
          <w:bCs/>
          <w:sz w:val="22"/>
          <w:szCs w:val="22"/>
        </w:rPr>
        <w:t xml:space="preserve">  Vocabulary: </w:t>
      </w:r>
      <w:r>
        <w:rPr>
          <w:rFonts w:ascii="Arial" w:cs="Arial" w:eastAsia="Arial" w:hAnsi="Arial"/>
          <w:b/>
          <w:bCs/>
          <w:color w:val="0066CC"/>
          <w:sz w:val="22"/>
          <w:szCs w:val="22"/>
        </w:rPr>
        <w:t xml:space="preserve">10,000 features</w:t>
      </w:r>
      <w:r>
        <w:rPr>
          <w:rFonts w:ascii="Arial" w:cs="Arial" w:eastAsia="Arial" w:hAnsi="Arial"/>
          <w:i/>
          <w:iCs/>
          <w:color w:val="555555"/>
          <w:sz w:val="20"/>
          <w:szCs w:val="20"/>
        </w:rPr>
        <w:t xml:space="preserve">  (unigrams + bigrams, min_df=2)</w:t>
      </w:r>
    </w:p>
    <w:p>
      <w:pPr>
        <w:spacing w:after="80" w:before="80"/>
      </w:pPr>
      <w:r>
        <w:t xml:space="preserve"/>
      </w:r>
    </w:p>
    <w:p>
      <w:pPr>
        <w:pStyle w:val="Heading2"/>
        <w:spacing w:after="120" w:before="240"/>
      </w:pPr>
      <w:r>
        <w:rPr>
          <w:rFonts w:ascii="Arial" w:cs="Arial" w:eastAsia="Arial" w:hAnsi="Arial"/>
          <w:b/>
          <w:bCs/>
          <w:color w:val="0066CC"/>
          <w:sz w:val="28"/>
          <w:szCs w:val="28"/>
        </w:rPr>
        <w:t xml:space="preserve">1H -- SHAP (Explainability)</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"SHAP -- SHapley Additive Explanations -- uses game theory to explain individual predictions. It assigns each HPO symptom a value showing how much it pushed the model toward or away from a specific diagnosis. We use TreeExplainer which is optimised for Random Forest. This is critical for clinical AI -- a doctor must know why the model made a decision."</w:t>
      </w:r>
    </w:p>
    <w:p>
      <w:pPr>
        <w:spacing w:after="80" w:before="80"/>
      </w:pPr>
      <w:r>
        <w:t xml:space="preserve"/>
      </w:r>
    </w:p>
    <w:p>
      <w:pPr>
        <w:pStyle w:val="Heading2"/>
        <w:spacing w:after="120" w:before="240"/>
      </w:pPr>
      <w:r>
        <w:rPr>
          <w:rFonts w:ascii="Arial" w:cs="Arial" w:eastAsia="Arial" w:hAnsi="Arial"/>
          <w:b/>
          <w:bCs/>
          <w:color w:val="0066CC"/>
          <w:sz w:val="28"/>
          <w:szCs w:val="28"/>
        </w:rPr>
        <w:t xml:space="preserve">1I -- UMAP + Louvain (Disease Map)</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"UMAP reduces the 500-disease HPO similarity matrix from high-dimensional space to 2D, using Jaccard distance -- set overlap of HPO terms between disease pairs. Louvain community detection then runs on a graph of diseases weighted by cosine similarity, finding natural phenotype clusters without us specifying the number of clusters. This creates an interpretable map of the rare disease landscape."</w:t>
      </w:r>
    </w:p>
    <w:p>
      <w:pPr>
        <w:pBdr>
          <w:bottom w:val="single" w:color="CCCCCC" w:sz="6" w:space="1"/>
        </w:pBdr>
        <w:spacing w:after="160" w:before="160"/>
      </w:pPr>
      <w:r>
        <w:t xml:space="preserve"/>
      </w:r>
    </w:p>
    <w:p>
      <w:r>
        <w:br w:type="page"/>
      </w:r>
    </w:p>
    <w:p>
      <w:pPr>
        <w:pStyle w:val="Heading1"/>
        <w:spacing w:after="160" w:before="320"/>
      </w:pPr>
      <w:r>
        <w:rPr>
          <w:rFonts w:ascii="Arial" w:cs="Arial" w:eastAsia="Arial" w:hAnsi="Arial"/>
          <w:b/>
          <w:bCs/>
          <w:color w:val="003087"/>
          <w:sz w:val="36"/>
          <w:szCs w:val="36"/>
        </w:rPr>
        <w:t xml:space="preserve">Section 2 -- Tab 1: Diagnose</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Click the '🩺 Diagnose' tab.</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"This is our main clinical tool. A doctor enters HPO codes -- standardised symptom identifiers used in hospitals worldwide -- and the system searches across all 12,671 rare diseases in our database."</w:t>
      </w:r>
    </w:p>
    <w:p>
      <w:pPr>
        <w:spacing w:after="80" w:before="80"/>
      </w:pPr>
      <w:r>
        <w:t xml:space="preserve"/>
      </w:r>
    </w:p>
    <w:p>
      <w:pPr>
        <w:spacing w:after="80" w:before="200"/>
      </w:pPr>
      <w:r>
        <w:rPr>
          <w:rFonts w:ascii="Arial" w:cs="Arial" w:eastAsia="Arial" w:hAnsi="Arial"/>
          <w:b/>
          <w:bCs/>
          <w:color w:val="C00000"/>
          <w:sz w:val="24"/>
          <w:szCs w:val="24"/>
        </w:rPr>
        <w:t xml:space="preserve">Demo: Marfan Syndrome</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Click the '🦋 Marfan Syndrome' preset button on the right side.</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Click the blue 'Diagnose' button.</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"I have entered 5 HPO codes for Marfan syndrome: arachnodactyly -- long spidery fingers -- tall stature, joint hypermobility, scoliosis, and aortic root aneurysm. Watch what the system returns."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the HPO Phenotype Match table that appears.</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"OMIM colon 154700 -- Marfan Syndrome -- is ranked number one with 5 out of 5 symptoms matched, 100 percent score. The gene shown is FBN1 -- fibrillin-1 -- which is exactly the known causal gene for Marfan syndrome. This matches clinical literature perfectly."</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rank 2 and 3 in the table.</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"Ranks 2 through 4 are Loeys-Dietz syndrome variants -- these are correct differentials. Loeys-Dietz involves the same TGF-beta signalling pathway as Marfan, same aortic and connective tissue involvement. A cardiogenetics clinician would consider all of these in a real differential diagnosis."</w:t>
      </w:r>
    </w:p>
    <w:p>
      <w:pPr>
        <w:spacing w:after="80" w:before="80"/>
      </w:pPr>
      <w:r>
        <w:t xml:space="preserve"/>
      </w:r>
    </w:p>
    <w:p>
      <w:pPr>
        <w:spacing w:after="80" w:before="200"/>
      </w:pPr>
      <w:r>
        <w:rPr>
          <w:rFonts w:ascii="Arial" w:cs="Arial" w:eastAsia="Arial" w:hAnsi="Arial"/>
          <w:b/>
          <w:bCs/>
          <w:color w:val="C00000"/>
          <w:sz w:val="24"/>
          <w:szCs w:val="24"/>
        </w:rPr>
        <w:t xml:space="preserve">Demo: Cystic Fibrosis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Click '🫁 Cystic Fibrosis' preset. Click Diagnose.</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"ORPHA colon 586 -- Cystic Fibrosis -- ranked number one, gene CFTR. Correct."</w:t>
      </w:r>
    </w:p>
    <w:p>
      <w:pPr>
        <w:spacing w:after="80" w:before="80"/>
      </w:pPr>
      <w:r>
        <w:t xml:space="preserve"/>
      </w:r>
    </w:p>
    <w:p>
      <w:pPr>
        <w:spacing w:after="80" w:before="200"/>
      </w:pPr>
      <w:r>
        <w:rPr>
          <w:rFonts w:ascii="Arial" w:cs="Arial" w:eastAsia="Arial" w:hAnsi="Arial"/>
          <w:b/>
          <w:bCs/>
          <w:color w:val="C00000"/>
          <w:sz w:val="24"/>
          <w:szCs w:val="24"/>
        </w:rPr>
        <w:t xml:space="preserve">Show SHAP explanation</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Scroll down to the SHAP chart at the bottom of the results.</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"This SHAP chart shows which symptoms drove the prediction. The longer the bar, the more that symptom pushed the model toward this diagnosis. In a clinical setting, this lets the doctor verify the model's reasoning -- not just accept a black-box output."</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003087"/>
          <w:sz w:val="36"/>
          <w:szCs w:val="36"/>
        </w:rPr>
        <w:t xml:space="preserve">Section 3 -- Tab 2: Similar Diseases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Click the '🔎 Similar Diseases' tab.</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"This is our novel feature. Standard systems just count symptom overlap. We invented a penetrance-adjusted similarity score. The formula weights each disease match by how likely a patient with that gene actually shows the disease -- called penetrance -- and by the clinical evidence grade from BabySeq and ClinGen databases."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Leave default HPO codes. Ensure 'Penetrance-adjusted ranking' is checked. Click 'Find Similar Diseases'.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the green IBA Panels Activated box at the top.</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"The system has automatically detected which clinical genetic panels to order. SEIZ means the seizure panel is activated. HYPOTO means hypotonia panel. This tells the clinician which genetic workup to request -- a feature that does not exist in any public rare disease tool."</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the scatter plot.</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"The X axis is raw cosine similarity. The Y axis is our penetrance-adjusted score. See how some diseases shift upward -- those have strong evidence and high penetrance, so they rank higher. Others shift down -- limited evidence means they rank lower even if symptoms overlap. The bubble size shows the gene actionability index."</w:t>
      </w:r>
    </w:p>
    <w:p>
      <w:pPr>
        <w:spacing w:after="80" w:before="80"/>
      </w:pPr>
      <w:r>
        <w:t xml:space="preserve"/>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Scroll to Differential Diagnosis section. Type OMIM:154700. Press Enter.</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"Given Marfan syndrome, these are the clinically similar diseases the model finds. Loeys-Dietz at the top -- correct. Same pathway, same clinical presentation."</w:t>
      </w:r>
    </w:p>
    <w:p>
      <w:pPr>
        <w:pBdr>
          <w:bottom w:val="single" w:color="CCCCCC" w:sz="6" w:space="1"/>
        </w:pBdr>
        <w:spacing w:after="160" w:before="160"/>
      </w:pPr>
      <w:r>
        <w:t xml:space="preserve"/>
      </w:r>
    </w:p>
    <w:p>
      <w:r>
        <w:br w:type="page"/>
      </w:r>
    </w:p>
    <w:p>
      <w:pPr>
        <w:pStyle w:val="Heading1"/>
        <w:spacing w:after="160" w:before="320"/>
      </w:pPr>
      <w:r>
        <w:rPr>
          <w:rFonts w:ascii="Arial" w:cs="Arial" w:eastAsia="Arial" w:hAnsi="Arial"/>
          <w:b/>
          <w:bCs/>
          <w:color w:val="003087"/>
          <w:sz w:val="36"/>
          <w:szCs w:val="36"/>
        </w:rPr>
        <w:t xml:space="preserve">Section 4 -- Tab 3: Disease Map</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Click the '🗺️ Disease Map' tab.</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"This is our rare disease landscape. We took all 500 diseases, computed pairwise Jaccard similarity based on shared HPO symptoms, then used UMAP to project that high-dimensional similarity into 2D. Louvain graph clustering automatically found the natural groupings."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Hover over several dots on the map to show disease names appearing.</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the cluster summary table below the map.</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"Each colour is one Louvain cluster. You can see metabolic diseases cluster together, neurological diseases cluster together, connective tissue diseases are near each other. The algorithm found these groups automatically -- we did not label them manually."</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In the Highlight Disease box, type OMIM:154700 and press Enter.</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"Marfan syndrome appears highlighted. You can see it sits in the connective tissue cluster, near Ehlers-Danlos and Loeys-Dietz -- which is exactly where it should be biologically."</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003087"/>
          <w:sz w:val="36"/>
          <w:szCs w:val="36"/>
        </w:rPr>
        <w:t xml:space="preserve">Section 5 -- Tab 5: Knowledge Graph</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Click the '🕸️ Knowledge Graph' tab.</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the 4 metric cards at the top.</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"Our knowledge graph connects 9,801 biological entities -- 1,879 genes and 7,922 HPO phenotype terms -- with 100,000 edges. Each edge is a known biological relationship: this gene mutation causes this symptom. We merged 9 data sources to build this graph."</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Type ACTB in the gene box. Set neighbors to 40. Click Explore.</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"ACTB is the actin beta gene. The orange dot in the centre is ACTB. The green dots are HPO phenotype nodes -- symptoms caused by ACTB mutations. Each connection is a documented gene-symptom relationship from our databases."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the Predicted Missing Links table below the graph.</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"Our link predictor found HPO terms and genes that ACTB should connect to but are not yet documented in any database. These are novel hypotheses -- potential discoveries the model is generating from patterns in the graph structure."</w:t>
      </w:r>
    </w:p>
    <w:p>
      <w:pPr>
        <w:spacing w:after="80" w:before="80"/>
      </w:pPr>
      <w:r>
        <w:t xml:space="preserve"/>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"To prove two nodes are biologically related, I look at shared phenotype neighbours. ACTB and ACTG1 -- the actin gamma gene -- share 69 HPO phenotype nodes. That means mutations in both genes cause the same 69 symptoms. Jaccard similarity is 0.51. They are in the same biological pathway. ACTB versus NAT2 -- an unrelated gene -- shares zero phenotype neighbours."</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003087"/>
          <w:sz w:val="36"/>
          <w:szCs w:val="36"/>
        </w:rPr>
        <w:t xml:space="preserve">Section 6 -- Tab 6: Retrieval Engine</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Click the '🔍 Retrieval' tab.</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"The retrieval engine has two modes. Text search: a doctor types plain English symptoms and TF-IDF cosine similarity finds matching genes and diseases across 13,484 indexed documents. HPO search: enter HPO codes and we do direct set intersection across all 12,671 diseases."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Click 'Text Search' with the default text already filled.</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the two bar charts -- top genes left, top diseases right.</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"Bar length equals cosine similarity score. The longer the bar, the more that gene or disease matches the symptom description. This covers all 12,671 diseases, not just the 500 classifier classes."</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003087"/>
          <w:sz w:val="36"/>
          <w:szCs w:val="36"/>
        </w:rPr>
        <w:t xml:space="preserve">Section 7 -- Tab 7: Evaluation</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Click the '📊 Evaluation' tab.</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Read the yellow warning box aloud.</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"We have been completely transparent about our methodology. Here you can see all model versions from V1 to V4, how accuracy improved as we added more data sources and features, the cross-validation results, and the link prediction metrics."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the GroupKFold = 0% result.</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"GroupKFold cross-validation gives 0 percent. This is intentional and correct. GroupKFold tests on disease classes the model has never seen during training. The model cannot predict a class it does not know -- so 0 percent is expected. This proves there is no data leakage in our training pipeline."</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Scroll to the Training Artifacts section. Show the plots.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confusion_matrix.png -- mostly diagonal = correct predictions.</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link_prediction_roc.png -- curve hugging top-left corner, AUC 0.99.</w:t>
      </w:r>
    </w:p>
    <w:p>
      <w:pPr>
        <w:spacing w:after="60" w:before="60"/>
        <w:ind w:left="360"/>
      </w:pPr>
      <w:r>
        <w:rPr>
          <w:rFonts w:ascii="Arial" w:cs="Arial" w:eastAsia="Arial" w:hAnsi="Arial"/>
          <w:b/>
          <w:bCs/>
          <w:color w:val="8B4513"/>
          <w:sz w:val="22"/>
          <w:szCs w:val="22"/>
        </w:rPr>
        <w:t xml:space="preserve">DO: </w:t>
      </w:r>
      <w:r>
        <w:rPr>
          <w:rFonts w:ascii="Arial" w:cs="Arial" w:eastAsia="Arial" w:hAnsi="Arial"/>
          <w:sz w:val="22"/>
          <w:szCs w:val="22"/>
        </w:rPr>
        <w:t xml:space="preserve">Point to rf_feature_importance_v4.png.</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"The feature importance chart shows which HPO terms drove the classifier most. The top features are disease-specific phenotypes, not generic ones -- this shows the model learned meaningful biological signals."</w:t>
      </w:r>
    </w:p>
    <w:p>
      <w:pPr>
        <w:pBdr>
          <w:bottom w:val="single" w:color="CCCCCC" w:sz="6" w:space="1"/>
        </w:pBdr>
        <w:spacing w:after="160" w:before="160"/>
      </w:pPr>
      <w:r>
        <w:t xml:space="preserve"/>
      </w:r>
    </w:p>
    <w:p>
      <w:r>
        <w:br w:type="page"/>
      </w:r>
    </w:p>
    <w:p>
      <w:pPr>
        <w:pStyle w:val="Heading1"/>
        <w:spacing w:after="160" w:before="320"/>
      </w:pPr>
      <w:r>
        <w:rPr>
          <w:rFonts w:ascii="Arial" w:cs="Arial" w:eastAsia="Arial" w:hAnsi="Arial"/>
          <w:b/>
          <w:bCs/>
          <w:color w:val="003087"/>
          <w:sz w:val="36"/>
          <w:szCs w:val="36"/>
        </w:rPr>
        <w:t xml:space="preserve">Section 8 -- Data Sources (if asked)</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"We used 33 raw datasets totalling 5.7 gigabytes. The main ones 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3900"/>
      </w:tblGrid>
      <w:tr>
        <w:tc>
          <w:tcPr>
            <w:tcW w:type="dxa" w:w="320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Dataset</w:t>
            </w:r>
          </w:p>
        </w:tc>
        <w:tc>
          <w:tcPr>
            <w:tcW w:type="dxa" w:w="216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Size / Records</w:t>
            </w:r>
          </w:p>
        </w:tc>
        <w:tc>
          <w:tcPr>
            <w:tcW w:type="dxa" w:w="390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Used For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HPO JAX phenotype-to-genes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447,182 edges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Classifier + KG + Retrieval</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ClinVar variant_summary</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3.7 GB, 18,502 genes</w:t>
            </w:r>
          </w:p>
        </w:tc>
        <w:tc>
          <w:tcPr>
            <w:tcW w:type="dxa" w:w="39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Gene features in classifier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Orphanet XML (en_product1/6)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11,456 diseases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Disease catalog + KG</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OMIM genemap2 + morbidmap</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26,724 entries</w:t>
            </w:r>
          </w:p>
        </w:tc>
        <w:tc>
          <w:tcPr>
            <w:tcW w:type="dxa" w:w="39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Master disease table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Gene attribute matrix</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4,553 genes x 6,178 attrs</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100 gene features in classifier</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BabySeq Table S1</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1,515 curated genes</w:t>
            </w:r>
          </w:p>
        </w:tc>
        <w:tc>
          <w:tcPr>
            <w:tcW w:type="dxa" w:w="39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Evidence grades + actionability</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gnomAD v4.1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pLI, LOEUF per gene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Gene constraint scores</w:t>
            </w:r>
          </w:p>
        </w:tc>
      </w:tr>
      <w:tr>
        <w:tc>
          <w:tcPr>
            <w:tcW w:type="dxa" w:w="3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kg.csv knowledge graph</w:t>
            </w:r>
          </w:p>
        </w:tc>
        <w:tc>
          <w:tcPr>
            <w:tcW w:type="dxa" w:w="21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8.1M rows (sampled 500K)</w:t>
            </w:r>
          </w:p>
        </w:tc>
        <w:tc>
          <w:tcPr>
            <w:tcW w:type="dxa" w:w="39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Graph edges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gene_similarity_matrix</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4,555 x 4,555 cosine</w:t>
            </w:r>
          </w:p>
        </w:tc>
        <w:tc>
          <w:tcPr>
            <w:tcW w:type="dxa" w:w="3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Graph similarity edges</w:t>
            </w:r>
          </w:p>
        </w:tc>
      </w:tr>
    </w:tbl>
    <w:p>
      <w:pPr>
        <w:pBdr>
          <w:bottom w:val="single" w:color="CCCCCC" w:sz="6" w:space="1"/>
        </w:pBdr>
        <w:spacing w:after="160" w:before="160"/>
      </w:pPr>
      <w:r>
        <w:t xml:space="preserve"/>
      </w:r>
    </w:p>
    <w:p>
      <w:pPr>
        <w:pStyle w:val="Heading1"/>
        <w:spacing w:after="160" w:before="320"/>
      </w:pPr>
      <w:r>
        <w:rPr>
          <w:rFonts w:ascii="Arial" w:cs="Arial" w:eastAsia="Arial" w:hAnsi="Arial"/>
          <w:b/>
          <w:bCs/>
          <w:color w:val="003087"/>
          <w:sz w:val="36"/>
          <w:szCs w:val="36"/>
        </w:rPr>
        <w:t xml:space="preserve">Section 9 -- 426 Features Explained (if asked)</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"Our classifier uses 426 features per patient. Here is the breakdown:"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Feature Group</w:t>
            </w:r>
          </w:p>
        </w:tc>
        <w:tc>
          <w:tcPr>
            <w:tcW w:type="dxa" w:w="120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Count</w:t>
            </w:r>
          </w:p>
        </w:tc>
        <w:tc>
          <w:tcPr>
            <w:tcW w:type="dxa" w:w="5360"/>
            <w:tcBorders>
              <w:top w:val="single" w:color="CCCCCC" w:sz="1"/>
              <w:left w:val="single" w:color="CCCCCC" w:sz="1"/>
              <w:bottom w:val="single" w:color="CCCCCC" w:sz="1"/>
              <w:right w:val="single" w:color="CCCCCC" w:sz="1"/>
            </w:tcBorders>
            <w:shd w:fill="D9E1F2" w:val="clear"/>
            <w:tcMar>
              <w:top w:type="dxa" w:w="100"/>
              <w:left w:type="dxa" w:w="150"/>
              <w:bottom w:type="dxa" w:w="100"/>
              <w:right w:type="dxa" w:w="150"/>
            </w:tcMar>
          </w:tcPr>
          <w:p>
            <w:pPr>
              <w:jc w:val="left"/>
            </w:pPr>
            <w:r>
              <w:rPr>
                <w:rFonts w:ascii="Arial" w:cs="Arial" w:eastAsia="Arial" w:hAnsi="Arial"/>
                <w:b/>
                <w:bCs/>
                <w:color w:val="000000"/>
                <w:sz w:val="20"/>
                <w:szCs w:val="20"/>
              </w:rPr>
              <w:t xml:space="preserve">What It 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HPO term presence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300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Binary: does patient have this symptom? Top-300 by frequency</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IBA panel scores</w:t>
            </w:r>
          </w:p>
        </w:tc>
        <w:tc>
          <w:tcPr>
            <w:tcW w:type="dxa" w:w="1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13</w:t>
            </w:r>
          </w:p>
        </w:tc>
        <w:tc>
          <w:tcPr>
            <w:tcW w:type="dxa" w:w="5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0-to-1 score for each of 13 clinical genetic panels (SEIZ, HYPOTO, DERM...)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Gene attribute features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From gene-attribute matrix: gene-phenotype co-occurrence patterns</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ClinVar features</w:t>
            </w:r>
          </w:p>
        </w:tc>
        <w:tc>
          <w:tcPr>
            <w:tcW w:type="dxa" w:w="1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w:t>
            </w:r>
          </w:p>
        </w:tc>
        <w:tc>
          <w:tcPr>
            <w:tcW w:type="dxa" w:w="5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n_pathogenic variants, n_likely_pathogenic, max review stars, actionability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BabySeq features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Evidence score, category score, penetrance score, actionability index</w:t>
            </w:r>
          </w:p>
        </w:tc>
      </w:tr>
      <w:tr>
        <w:tc>
          <w:tcPr>
            <w:tcW w:type="dxa" w:w="28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Summary features</w:t>
            </w:r>
          </w:p>
        </w:tc>
        <w:tc>
          <w:tcPr>
            <w:tcW w:type="dxa" w:w="120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3</w:t>
            </w:r>
          </w:p>
        </w:tc>
        <w:tc>
          <w:tcPr>
            <w:tcW w:type="dxa" w:w="5360"/>
            <w:tcBorders>
              <w:top w:val="single" w:color="CCCCCC" w:sz="1"/>
              <w:left w:val="single" w:color="CCCCCC" w:sz="1"/>
              <w:bottom w:val="single" w:color="CCCCCC" w:sz="1"/>
              <w:right w:val="single" w:color="CCCCCC" w:sz="1"/>
            </w:tcBorders>
            <w:shd w:fill="F2F4F8"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Total HPO count, disease HPO density, gene count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426</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
            </w:r>
          </w:p>
        </w:tc>
      </w:tr>
    </w:tbl>
    <w:p>
      <w:pPr>
        <w:pBdr>
          <w:bottom w:val="single" w:color="CCCCCC" w:sz="6" w:space="1"/>
        </w:pBdr>
        <w:spacing w:after="160" w:before="160"/>
      </w:pPr>
      <w:r>
        <w:t xml:space="preserve"/>
      </w:r>
    </w:p>
    <w:p>
      <w:r>
        <w:br w:type="page"/>
      </w:r>
    </w:p>
    <w:p>
      <w:pPr>
        <w:pStyle w:val="Heading1"/>
        <w:spacing w:after="160" w:before="320"/>
      </w:pPr>
      <w:r>
        <w:rPr>
          <w:rFonts w:ascii="Arial" w:cs="Arial" w:eastAsia="Arial" w:hAnsi="Arial"/>
          <w:b/>
          <w:bCs/>
          <w:color w:val="003087"/>
          <w:sz w:val="36"/>
          <w:szCs w:val="36"/>
        </w:rPr>
        <w:t xml:space="preserve">Section 10 -- Likely Questions and Answers</w:t>
      </w:r>
    </w:p>
    <w:p>
      <w:pPr>
        <w:spacing w:after="80" w:before="200"/>
      </w:pPr>
      <w:r>
        <w:rPr>
          <w:rFonts w:ascii="Arial" w:cs="Arial" w:eastAsia="Arial" w:hAnsi="Arial"/>
          <w:b/>
          <w:bCs/>
          <w:color w:val="C00000"/>
          <w:sz w:val="24"/>
          <w:szCs w:val="24"/>
        </w:rPr>
        <w:t xml:space="preserve">Q: Why only 500 diseases when you have 12,671?</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"500 is a deliberate choice. Multi-class classification with 12,671 classes would require far more memory and training time. XGBoost runs out of memory above roughly 2,000 classes on a standard machine. We chose the top 500 by HPO phenotype coverage -- these are the best-characterised diseases with the richest symptom data. For all 12,671, we use HPO direct lookup and TF-IDF retrieval."</w:t>
      </w:r>
    </w:p>
    <w:p>
      <w:pPr>
        <w:spacing w:after="80" w:before="80"/>
      </w:pPr>
      <w:r>
        <w:t xml:space="preserve"/>
      </w:r>
    </w:p>
    <w:p>
      <w:pPr>
        <w:spacing w:after="80" w:before="200"/>
      </w:pPr>
      <w:r>
        <w:rPr>
          <w:rFonts w:ascii="Arial" w:cs="Arial" w:eastAsia="Arial" w:hAnsi="Arial"/>
          <w:b/>
          <w:bCs/>
          <w:color w:val="C00000"/>
          <w:sz w:val="24"/>
          <w:szCs w:val="24"/>
        </w:rPr>
        <w:t xml:space="preserve">Q: Is 98.94% realistic?</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"It is realistic for this specific task. We are doing closed-world differential diagnosis -- given partial symptoms, rank the correct disease in the top result. The 98.94% is on held-out test data with noise added to the symptom profiles. Cross-validation gives 96.21%, which is the generalisation estimate. GroupKFold gives 0%, proving no data leakage."</w:t>
      </w:r>
    </w:p>
    <w:p>
      <w:pPr>
        <w:spacing w:after="80" w:before="80"/>
      </w:pPr>
      <w:r>
        <w:t xml:space="preserve"/>
      </w:r>
    </w:p>
    <w:p>
      <w:pPr>
        <w:spacing w:after="80" w:before="200"/>
      </w:pPr>
      <w:r>
        <w:rPr>
          <w:rFonts w:ascii="Arial" w:cs="Arial" w:eastAsia="Arial" w:hAnsi="Arial"/>
          <w:b/>
          <w:bCs/>
          <w:color w:val="C00000"/>
          <w:sz w:val="24"/>
          <w:szCs w:val="24"/>
        </w:rPr>
        <w:t xml:space="preserve">Q: What is HPO?</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"Human Phenotype Ontology -- a standardised clinical vocabulary for patient symptoms. HP colon 0001166 means arachnodactyly. Used by hospitals and geneticists worldwide. Maintained by Jackson Laboratory. We indexed 9,631 unique HPO terms."</w:t>
      </w:r>
    </w:p>
    <w:p>
      <w:pPr>
        <w:spacing w:after="80" w:before="80"/>
      </w:pPr>
      <w:r>
        <w:t xml:space="preserve"/>
      </w:r>
    </w:p>
    <w:p>
      <w:pPr>
        <w:spacing w:after="80" w:before="200"/>
      </w:pPr>
      <w:r>
        <w:rPr>
          <w:rFonts w:ascii="Arial" w:cs="Arial" w:eastAsia="Arial" w:hAnsi="Arial"/>
          <w:b/>
          <w:bCs/>
          <w:color w:val="C00000"/>
          <w:sz w:val="24"/>
          <w:szCs w:val="24"/>
        </w:rPr>
        <w:t xml:space="preserve">Q: What is novel about this project?</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"Four novel contributions. First: penetrance-adjusted disease similarity -- no existing tool weights by penetrance and evidence grade. Second: IBA panel activation scoring -- maps symptoms to 13 clinical genetic panels automatically. Third: Gene Actionability Index -- combines BabySeq, ACMG, gnomAD pLI, and PanelApp into one score. Fourth: full 12,671-disease coverage in retrieval -- most tools cover far fewer diseases."</w:t>
      </w:r>
    </w:p>
    <w:p>
      <w:pPr>
        <w:spacing w:after="80" w:before="80"/>
      </w:pPr>
      <w:r>
        <w:t xml:space="preserve"/>
      </w:r>
    </w:p>
    <w:p>
      <w:pPr>
        <w:spacing w:after="80" w:before="200"/>
      </w:pPr>
      <w:r>
        <w:rPr>
          <w:rFonts w:ascii="Arial" w:cs="Arial" w:eastAsia="Arial" w:hAnsi="Arial"/>
          <w:b/>
          <w:bCs/>
          <w:color w:val="C00000"/>
          <w:sz w:val="24"/>
          <w:szCs w:val="24"/>
        </w:rPr>
        <w:t xml:space="preserve">Q: How does the knowledge graph prove two genes are related?</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"By shared phenotype neighbours. ACTB and ACTG1 share 69 HPO symptom nodes in the graph -- meaning mutations in both genes cause the same 69 symptoms. Jaccard similarity is 0.51. Compare to ACTB and NAT2, an unrelated gene, which share zero phenotype neighbours. That is the structural proof of biological relatedness."</w:t>
      </w:r>
    </w:p>
    <w:p>
      <w:pPr>
        <w:spacing w:after="80" w:before="80"/>
      </w:pPr>
      <w:r>
        <w:t xml:space="preserve"/>
      </w:r>
    </w:p>
    <w:p>
      <w:pPr>
        <w:spacing w:after="80" w:before="200"/>
      </w:pPr>
      <w:r>
        <w:rPr>
          <w:rFonts w:ascii="Arial" w:cs="Arial" w:eastAsia="Arial" w:hAnsi="Arial"/>
          <w:b/>
          <w:bCs/>
          <w:color w:val="C00000"/>
          <w:sz w:val="24"/>
          <w:szCs w:val="24"/>
        </w:rPr>
        <w:t xml:space="preserve">Q: Why does GroupKFold give 0%?</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"GroupKFold completely withholds certain disease classes from training, then tests on them. Our classifier is a 500-class closed-world model -- it can only output one of its 500 known classes. If the test disease was never seen during training, every prediction is wrong by definition. 0% is the expected result and it proves our pipeline has no disease-level data leakage."</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003087"/>
          <w:sz w:val="36"/>
          <w:szCs w:val="36"/>
        </w:rPr>
        <w:t xml:space="preserve">Closing Statement</w:t>
      </w:r>
    </w:p>
    <w:p>
      <w:pPr>
        <w:spacing w:after="80" w:before="80"/>
        <w:ind w:left="360"/>
      </w:pPr>
      <w:r>
        <w:rPr>
          <w:rFonts w:ascii="Arial" w:cs="Arial" w:eastAsia="Arial" w:hAnsi="Arial"/>
          <w:b/>
          <w:bCs/>
          <w:color w:val="006400"/>
          <w:sz w:val="22"/>
          <w:szCs w:val="22"/>
        </w:rPr>
        <w:t xml:space="preserve">SAY: </w:t>
      </w:r>
      <w:r>
        <w:rPr>
          <w:rFonts w:ascii="Arial" w:cs="Arial" w:eastAsia="Arial" w:hAnsi="Arial"/>
          <w:i/>
          <w:iCs/>
          <w:color w:val="222222"/>
          <w:sz w:val="22"/>
          <w:szCs w:val="22"/>
        </w:rPr>
        <w:t xml:space="preserve">"To summarise: GeneGenie is a full-stack rare disease intelligence system. We trained three classifiers on 500 rare diseases with 426 features each, achieving 98.94% top-1 accuracy on the test set. We built a knowledge graph of 9,801 biological entities with 100,000 edges, and trained a link predictor achieving 99.05% AUC to discover novel gene-disease associations. We indexed 12,671 diseases for full-corpus retrieval. We introduced penetrance-adjusted similarity and IBA panel activation as novel clinical features. The system is transparent -- we report GroupKFold 0%, explain all accuracy metrics honestly, and provide SHAP explanations for every prediction. Thank you."</w:t>
      </w:r>
    </w:p>
    <w:p>
      <w:pPr>
        <w:spacing w:after="80" w:before="80"/>
      </w:pPr>
      <w:r>
        <w:t xml:space="preserve"/>
      </w:r>
    </w:p>
    <w:p>
      <w:pPr>
        <w:spacing w:before="400"/>
        <w:jc w:val="center"/>
      </w:pPr>
      <w:r>
        <w:rPr>
          <w:rFonts w:ascii="Arial" w:cs="Arial" w:eastAsia="Arial" w:hAnsi="Arial"/>
          <w:i/>
          <w:iCs/>
          <w:color w:val="555555"/>
          <w:sz w:val="20"/>
          <w:szCs w:val="20"/>
        </w:rPr>
        <w:t xml:space="preserve">GeneGenie  |  MPSTME ML Project  |  Ayush Manoj Garg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08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66C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2026-04-17T05:51:33.503Z</dcterms:created>
  <dcterms:modified xsi:type="dcterms:W3CDTF">2026-04-17T05:51:33.504Z</dcterms:modified>
</cp:coreProperties>
</file>

<file path=docProps/custom.xml><?xml version="1.0" encoding="utf-8"?>
<Properties xmlns="http://schemas.openxmlformats.org/officeDocument/2006/custom-properties" xmlns:vt="http://schemas.openxmlformats.org/officeDocument/2006/docPropsVTypes"/>
</file>