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066CC"/>
          <w:sz w:val="72"/>
        </w:rPr>
        <w:t>RareDx</w:t>
      </w:r>
    </w:p>
    <w:p>
      <w:pPr>
        <w:jc w:val="center"/>
      </w:pPr>
      <w:r>
        <w:rPr>
          <w:b/>
          <w:color w:val="00A896"/>
          <w:sz w:val="32"/>
        </w:rPr>
        <w:t>Pediatric Rare Disease Intelligence System</w:t>
        <w:br/>
        <w:t>Symptom-Driven Gene Prioritization, Disease Classification</w:t>
        <w:br/>
        <w:t>&amp; Clinical Decision Support</w:t>
      </w:r>
    </w:p>
    <w:p/>
    <w:p>
      <w:pPr>
        <w:jc w:val="center"/>
      </w:pPr>
      <w:r>
        <w:rPr>
          <w:color w:val="1A2A3A"/>
          <w:sz w:val="24"/>
        </w:rPr>
        <w:t>Ayush Manoj Garg</w:t>
        <w:br/>
        <w:t>MPSTME — B.Tech Computer Engineering (AI &amp; DS), Semester 6</w:t>
        <w:br/>
        <w:t>Machine Learning Project  |  April 2026</w:t>
        <w:br/>
        <w:t>Narsee Monjee Institute of Management Studies (NMIMS)</w:t>
      </w:r>
    </w:p>
    <w:p/>
    <w:p>
      <w:pPr>
        <w:jc w:val="center"/>
      </w:pPr>
      <w:r>
        <w:rPr>
          <w:b/>
          <w:color w:val="0066CC"/>
          <w:sz w:val="22"/>
        </w:rPr>
        <w:t>RF Accuracy: 98.94%</w:t>
      </w:r>
      <w:r>
        <w:rPr>
          <w:b/>
          <w:color w:val="888888"/>
          <w:sz w:val="22"/>
        </w:rPr>
        <w:t xml:space="preserve">  |  </w:t>
      </w:r>
      <w:r>
        <w:rPr>
          <w:b/>
          <w:color w:val="00A896"/>
          <w:sz w:val="22"/>
        </w:rPr>
        <w:t>KG Link Pred AUC: 99.05%</w:t>
      </w:r>
      <w:r>
        <w:rPr>
          <w:b/>
          <w:color w:val="888888"/>
          <w:sz w:val="22"/>
        </w:rPr>
        <w:t xml:space="preserve">  |  </w:t>
      </w:r>
      <w:r>
        <w:rPr>
          <w:b/>
          <w:color w:val="F18F01"/>
          <w:sz w:val="22"/>
        </w:rPr>
        <w:t>8 Data Sources · 5.7 GB</w:t>
      </w:r>
      <w:r>
        <w:rPr>
          <w:b/>
          <w:color w:val="888888"/>
          <w:sz w:val="22"/>
        </w:rPr>
        <w:t xml:space="preserve">  |  </w:t>
      </w:r>
      <w:r>
        <w:rPr>
          <w:b/>
          <w:color w:val="E63946"/>
          <w:sz w:val="22"/>
        </w:rPr>
        <w:t>43,745 Diseases · 666K Graph Edges</w:t>
      </w:r>
    </w:p>
    <w:p>
      <w:r>
        <w:br w:type="page"/>
      </w:r>
    </w:p>
    <w:p>
      <w:pPr>
        <w:pStyle w:val="Heading1"/>
        <w:jc w:val="left"/>
      </w:pPr>
      <w:r>
        <w:rPr>
          <w:b/>
          <w:color w:val="0066CC"/>
        </w:rPr>
        <w:t>Abstract</w:t>
      </w:r>
    </w:p>
    <w:p>
      <w:pPr>
        <w:spacing w:after="120"/>
      </w:pPr>
      <w:r>
        <w:rPr>
          <w:sz w:val="22"/>
        </w:rPr>
        <w:t>Rare disease diagnosis currently takes an average of 5–7 years due to phenotypic heterogeneity, limited specialist access, and fragmented clinical data. RareDx is an end-to-end machine learning system that accepts a patient's clinical symptoms (encoded as Human Phenotype Ontology terms) and returns ranked candidate diseases with supporting clinical evidence — requiring no genomic sequencing data. The system integrates eight biomedical databases (HPO, OMIM, Orphanet, ClinVar, BabySeq, GnomAD v4.1, NHS PanelApp, ACMG Secondary Findings) totalling 5.7 GB of raw data across 43,745 unique diseases and 666,454 knowledge graph edges. A four-version ablation study culminates in a Random Forest classifier (V4) achieving 98.94% accuracy on 500 pediatric diseases with 426 features. Five novel contributions distinguish this work from existing tools: (1) IBA clinical panel activation scoring from HPO input, (2) penetrance-adjusted disease retrieval ranking, (3) a three-tier gene actionability index combining BabySeq ClinGen evidence, ACMG secondary findings, and GnomAD pLI/LOEUF constraint metrics, (4) a BabySeq Category A newborn alert system, and (5) a UMAP disease landscape with Louvain community detection. The system is deployed as a 7-tab Streamlit dashboard for clinical demonstration.</w:t>
      </w:r>
    </w:p>
    <w:p/>
    <w:p>
      <w:pPr>
        <w:pStyle w:val="Heading1"/>
        <w:jc w:val="left"/>
      </w:pPr>
      <w:r>
        <w:rPr>
          <w:b/>
          <w:color w:val="0066CC"/>
        </w:rPr>
        <w:t>1. Introduction</w:t>
      </w:r>
    </w:p>
    <w:p>
      <w:pPr>
        <w:spacing w:after="120"/>
      </w:pPr>
      <w:r>
        <w:rPr>
          <w:sz w:val="22"/>
        </w:rPr>
        <w:t>Rare diseases affect 1 in 17 people globally — approximately 400 million individuals worldwide — yet individually each condition is uncommon, making diagnosis extraordinarily difficult. The average diagnostic odyssey spans 5–7 years, during which patients visit multiple specialists and undergo redundant investigations. Pediatric patients are disproportionately affected: over 70% of rare diseases manifest in childhood, and delayed diagnosis leads to preventable morbidity and mortality.</w:t>
      </w:r>
    </w:p>
    <w:p>
      <w:pPr>
        <w:spacing w:after="120"/>
      </w:pPr>
      <w:r>
        <w:rPr>
          <w:sz w:val="22"/>
        </w:rPr>
        <w:t>Machine learning offers a promising path to accelerate diagnosis. By learning associations between clinical phenotypes (symptoms) and diseases from large curated databases, a model can rapidly narrow the differential diagnosis from thousands of possibilities to a clinically actionable shortlist. This project builds such a system, with a specific focus on the pediatric population and on clinical actionability — not merely academic prediction accuracy.</w:t>
      </w:r>
    </w:p>
    <w:p>
      <w:pPr>
        <w:pStyle w:val="Heading2"/>
        <w:jc w:val="left"/>
      </w:pPr>
      <w:r>
        <w:rPr>
          <w:b/>
          <w:color w:val="0066CC"/>
        </w:rPr>
        <w:t>1.1 Problem Statement</w:t>
      </w:r>
    </w:p>
    <w:p>
      <w:pPr>
        <w:spacing w:after="120"/>
      </w:pPr>
      <w:r>
        <w:rPr>
          <w:sz w:val="22"/>
        </w:rPr>
        <w:t>Given a set of patient symptoms encoded as HPO (Human Phenotype Ontology) terms, identify the most likely rare diseases and rank them by: (a) phenotypic similarity, (b) strength of clinical evidence, and (c) penetrance — the probability that a disease-causing genotype leads to disease. Additionally, provide a disease similarity map to help clinicians identify which diseases could be confused with the predicted condition (differential diagnosis).</w:t>
      </w:r>
    </w:p>
    <w:p>
      <w:pPr>
        <w:pStyle w:val="Heading2"/>
        <w:jc w:val="left"/>
      </w:pPr>
      <w:r>
        <w:rPr>
          <w:b/>
          <w:color w:val="0066CC"/>
        </w:rPr>
        <w:t>1.2 Scope &amp; Constraints</w:t>
      </w:r>
    </w:p>
    <w:p>
      <w:pPr>
        <w:pStyle w:val="ListBullet"/>
        <w:spacing w:after="60"/>
      </w:pPr>
      <w:r>
        <w:t>Pediatric-onset diseases only (congenital, neonatal, infantile, childhood onset)</w:t>
      </w:r>
    </w:p>
    <w:p>
      <w:pPr>
        <w:pStyle w:val="ListBullet"/>
        <w:spacing w:after="60"/>
      </w:pPr>
      <w:r>
        <w:t>Input: clinical symptoms (HPO IDs) — no genomic sequencing required</w:t>
      </w:r>
    </w:p>
    <w:p>
      <w:pPr>
        <w:pStyle w:val="ListBullet"/>
        <w:spacing w:after="60"/>
      </w:pPr>
      <w:r>
        <w:t>500 pediatric diseases modelled (from 43,745 total, filtered by Orphanet onset codes)</w:t>
      </w:r>
    </w:p>
    <w:p>
      <w:pPr>
        <w:pStyle w:val="ListBullet"/>
        <w:spacing w:after="60"/>
      </w:pPr>
      <w:r>
        <w:t>All models run on CPU only — no GPU required</w:t>
      </w:r>
    </w:p>
    <w:p>
      <w:pPr>
        <w:pStyle w:val="ListBullet"/>
        <w:spacing w:after="60"/>
      </w:pPr>
      <w:r>
        <w:t>All data sources are free and publicly available</w:t>
      </w:r>
    </w:p>
    <w:p/>
    <w:p>
      <w:pPr>
        <w:pStyle w:val="Heading1"/>
        <w:jc w:val="left"/>
      </w:pPr>
      <w:r>
        <w:rPr>
          <w:b/>
          <w:color w:val="0066CC"/>
        </w:rPr>
        <w:t>2. Related Work &amp; Differentiation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Tool</w:t>
            </w:r>
          </w:p>
        </w:tc>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What It Does</w:t>
            </w:r>
          </w:p>
        </w:tc>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Key Gap vs RareDx</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Phenomizer</w:t>
              <w:br/>
              <w:t>(Charite Berlin)</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HPO → disease ranking via</w:t>
              <w:br/>
              <w:t>ontology similarity</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No penetrance adjustment, no</w:t>
              <w:br/>
              <w:t>evidence grading, no newborn alerts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LIRICAL</w:t>
              <w:br/>
              <w:t>(Monarch Initiative)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HPO + genotype → disease</w:t>
              <w:br/>
              <w:t>likelihood ratio</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Requires VCF/genotype input;</w:t>
              <w:br/>
              <w:t>not symptom-only</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Exomiser</w:t>
              <w:br/>
              <w:t>(Wellcome Sanger)</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Exome + HPO → gene ranking</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Requires whole-exome sequencing;</w:t>
              <w:br/>
              <w:t>not applicable pre-diagnosis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OMIM / Orphanet</w:t>
              <w:br/>
              <w:t>search</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Manual phenotype lookup</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No ML ranking, no similarity</w:t>
              <w:br/>
              <w:t>map, no evidence scoring</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PhenoTips</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HPO term capture interface</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No prediction or ML; only</w:t>
              <w:br/>
              <w:t>data entry tool</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RareDx (this work)</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HPO → disease + panel + evidence</w:t>
              <w:br/>
              <w:t>+ newborn alert + UMAP map</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Combines all above — first system</w:t>
              <w:br/>
              <w:t>with penetrance-adj + ACMG + GnomAD</w:t>
              <w:br/>
              <w:t>+ IBA panel activation</w:t>
            </w:r>
          </w:p>
        </w:tc>
      </w:tr>
    </w:tbl>
    <w:p/>
    <w:p>
      <w:pPr>
        <w:spacing w:after="120"/>
      </w:pPr>
      <w:r>
        <w:rPr>
          <w:sz w:val="22"/>
        </w:rPr>
        <w:t>No existing published tool combines symptom-only input with penetrance-adjusted retrieval, IBA clinical panel activation, ACMG secondary findings flagging, GnomAD haploinsufficiency evidence, and a UMAP disease landscape in a single system.</w:t>
      </w:r>
    </w:p>
    <w:p/>
    <w:p>
      <w:pPr>
        <w:pStyle w:val="Heading1"/>
        <w:jc w:val="left"/>
      </w:pPr>
      <w:r>
        <w:rPr>
          <w:b/>
          <w:color w:val="0066CC"/>
        </w:rPr>
        <w:t>3. Data Sources</w:t>
      </w:r>
    </w:p>
    <w:p>
      <w:pPr>
        <w:spacing w:after="120"/>
      </w:pPr>
      <w:r>
        <w:rPr>
          <w:sz w:val="22"/>
        </w:rPr>
        <w:t>Eight primary data sources were integrated. Raw data totals 5.7 GB across 33 files. All sources are freely available for academic use.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Source</w:t>
            </w:r>
          </w:p>
        </w:tc>
        <w:tc>
          <w:tcPr>
            <w:tcW w:type="dxa" w:w="235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Content</w:t>
            </w:r>
          </w:p>
        </w:tc>
        <w:tc>
          <w:tcPr>
            <w:tcW w:type="dxa" w:w="235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Scale</w:t>
            </w:r>
          </w:p>
        </w:tc>
        <w:tc>
          <w:tcPr>
            <w:tcW w:type="dxa" w:w="235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Used For</w:t>
            </w:r>
          </w:p>
        </w:tc>
      </w:tr>
      <w:tr>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HPO / JAX phenotype_to_genes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HPO term → gene associations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447K edges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Feature matrix, HPO lookup</w:t>
            </w:r>
          </w:p>
        </w:tc>
      </w:tr>
      <w:tr>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OMIM (mimTitles, morbidmap,</w:t>
              <w:br/>
              <w:t>mim2gene, genemap2)</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Disease entries, gene-disease</w:t>
              <w:br/>
              <w:t>mapping, disease names</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26,724 diseases</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Disease names, gene mapping,</w:t>
              <w:br/>
              <w:t>classifier labels</w:t>
            </w:r>
          </w:p>
        </w:tc>
      </w:tr>
      <w:tr>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Orphanet XML (en_product1,</w:t>
              <w:br/>
              <w:t>en_product6)</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Rare disease metadata, gene</w:t>
              <w:br/>
              <w:t>panels, geolocation prevalence</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11,456 diseases</w:t>
              <w:br/>
              <w:t>8,374 gene-disease links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Pediatric filter, graph edges,</w:t>
              <w:br/>
              <w:t>geolocation tab</w:t>
            </w:r>
          </w:p>
        </w:tc>
      </w:tr>
      <w:tr>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ClinVar variant_summary.txt</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Variant pathogenicity</w:t>
              <w:br/>
              <w:t>assessments</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3.7 GB</w:t>
              <w:br/>
              <w:t>18,502 genes</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ClinVar features in V3/V4</w:t>
              <w:br/>
              <w:t>classifier</w:t>
            </w:r>
          </w:p>
        </w:tc>
      </w:tr>
      <w:tr>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gene_attribute_matrix</w:t>
              <w:br/>
              <w:t>(Ma'ayan Lab)</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Gene functional attributes</w:t>
              <w:br/>
              <w:t>across 6,177 categories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4,553 × 6,177</w:t>
              <w:br/>
              <w:t>(107 MB)</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Top-100 gene attr features</w:t>
              <w:br/>
              <w:t>in V3/V4 classifier</w:t>
            </w:r>
          </w:p>
        </w:tc>
      </w:tr>
      <w:tr>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BabySeq (Table S1,</w:t>
              <w:br/>
              <w:t>mmc1, mmc2)</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ClinGen-curated gene list</w:t>
              <w:br/>
              <w:t>with evidence grades,</w:t>
              <w:br/>
              <w:t>penetrance, BabySeq category</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1,515 genes</w:t>
              <w:br/>
              <w:t>276 newborn variants</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Penetrance scoring, IBA panels,</w:t>
              <w:br/>
              <w:t>newborn alert, V4 features</w:t>
            </w:r>
          </w:p>
        </w:tc>
      </w:tr>
      <w:tr>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GnomAD v4.1 constraint</w:t>
              <w:br/>
              <w:t>metrics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pLI, LOEUF, mis_z</w:t>
              <w:br/>
              <w:t>per gene — haploinsufficiency</w:t>
              <w:br/>
              <w:t>proxy</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18,182 genes</w:t>
              <w:br/>
              <w:t>(15 MB)</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Gene actionability v2,</w:t>
              <w:br/>
              <w:t>penetrance proxy</w:t>
            </w:r>
          </w:p>
        </w:tc>
      </w:tr>
      <w:tr>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ACMG Secondary Findings v3.2</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71 genes clinical labs</w:t>
              <w:br/>
              <w:t>must report incidentally</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71 genes</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Tier-2 actionability flag</w:t>
              <w:br/>
              <w:t>in gene_actionability_v2</w:t>
            </w:r>
          </w:p>
        </w:tc>
      </w:tr>
      <w:tr>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NHS PanelApp</w:t>
              <w:br/>
              <w:t>(10 IBA-relevant panels)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Green-tier genes in 10</w:t>
              <w:br/>
              <w:t>clinical diagnostic panels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517 genes</w:t>
              <w:br/>
              <w:t>across 10 panels</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IBA panel validation;</w:t>
              <w:br/>
              <w:t>panel_* features</w:t>
            </w:r>
          </w:p>
        </w:tc>
      </w:tr>
    </w:tbl>
    <w:p/>
    <w:p>
      <w:pPr>
        <w:pStyle w:val="Heading2"/>
        <w:jc w:val="left"/>
      </w:pPr>
      <w:r>
        <w:rPr>
          <w:b/>
          <w:color w:val="0066CC"/>
        </w:rPr>
        <w:t>3.1 Data Processing Pipeline</w:t>
      </w:r>
    </w:p>
    <w:p>
      <w:pPr>
        <w:pStyle w:val="ListBullet"/>
        <w:spacing w:after="60"/>
      </w:pPr>
      <w:r>
        <w:t>merge_datasets.py: integrates HPO, OMIM, Orphanet, gene2phenotype → master_gene_disease_phenotype.csv (306K rows)</w:t>
      </w:r>
    </w:p>
    <w:p>
      <w:pPr>
        <w:pStyle w:val="ListBullet"/>
        <w:spacing w:after="60"/>
      </w:pPr>
      <w:r>
        <w:t>clinvar_processor.py: chunk-processes 3.7GB ClinVar → clinvar_gene_summary.csv (18,502 genes, 10 features)</w:t>
      </w:r>
    </w:p>
    <w:p>
      <w:pPr>
        <w:pStyle w:val="ListBullet"/>
        <w:spacing w:after="60"/>
      </w:pPr>
      <w:r>
        <w:t>enrich_features.py: builds gene_enriched_features.csv (19,839 genes × 173 features including GnomAD + ACMG)</w:t>
      </w:r>
    </w:p>
    <w:p>
      <w:pPr>
        <w:pStyle w:val="ListBullet"/>
        <w:spacing w:after="60"/>
      </w:pPr>
      <w:r>
        <w:t>pediatric_filter.py: filters to 3,652 pediatric-onset diseases → master_pediatric.csv (83K rows)</w:t>
      </w:r>
    </w:p>
    <w:p>
      <w:pPr>
        <w:pStyle w:val="ListBullet"/>
        <w:spacing w:after="60"/>
      </w:pPr>
      <w:r>
        <w:t>process_babyseq.py: parses BabySeq XLSX → penetrance scores, IBA panel map, newborn variants</w:t>
      </w:r>
    </w:p>
    <w:p>
      <w:pPr>
        <w:pStyle w:val="ListBullet"/>
        <w:spacing w:after="60"/>
      </w:pPr>
      <w:r>
        <w:t>process_external_datasets.py: GnomAD + ACMG + PanelApp → gene_actionability_v2.csv</w:t>
      </w:r>
    </w:p>
    <w:p/>
    <w:p>
      <w:pPr>
        <w:pStyle w:val="Heading1"/>
        <w:jc w:val="left"/>
      </w:pPr>
      <w:r>
        <w:rPr>
          <w:b/>
          <w:color w:val="0066CC"/>
        </w:rPr>
        <w:t>4. System Architecture</w:t>
      </w:r>
    </w:p>
    <w:p>
      <w:pPr>
        <w:spacing w:after="120"/>
      </w:pPr>
      <w:r>
        <w:rPr>
          <w:sz w:val="22"/>
        </w:rPr>
        <w:t>RareDx is composed of three interconnected modules, each building on the outputs of previous stages, deployed through a unified Streamlit dashboard.</w:t>
      </w:r>
    </w:p>
    <w:p>
      <w:pPr>
        <w:pStyle w:val="Heading2"/>
        <w:jc w:val="left"/>
      </w:pPr>
      <w:r>
        <w:rPr>
          <w:b/>
          <w:color w:val="0066CC"/>
        </w:rPr>
        <w:t>4.1 Module 1 — Disease Classifier</w:t>
      </w:r>
    </w:p>
    <w:p>
      <w:pPr>
        <w:spacing w:after="120"/>
      </w:pPr>
      <w:r>
        <w:rPr>
          <w:sz w:val="22"/>
        </w:rPr>
        <w:t>A multi-class classification model trained to predict one of 500 pediatric rare diseases from symptom feature vectors. Four versions were trained in an ablation study, each adding richer data sources: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Version</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Features (dim)</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Key Additions</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RF Accuracy</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RF Top-5</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V1 (General)</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300 HPO</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HPO phenotype terms only</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98.53%</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100.00%</w:t>
            </w:r>
          </w:p>
        </w:tc>
      </w:tr>
      <w:tr>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V2 (Pediatric)</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300 HPO + noise</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Pediatric filter; harder augmentation</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96.36%</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99.32%</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V3 (+Gene data)</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408 features</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+ClinVar (5) + gene attributes (100)</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98.65%</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99.80%</w:t>
            </w:r>
          </w:p>
        </w:tc>
      </w:tr>
      <w:tr>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V4 (Full — novel)</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426 features</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+13 IBA panels + 5 BabySeq features</w:t>
              <w:br/>
              <w:t>(evidence, penetrance, actionability)</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98.94%</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99.88%</w:t>
            </w:r>
          </w:p>
        </w:tc>
      </w:tr>
    </w:tbl>
    <w:p/>
    <w:p>
      <w:pPr>
        <w:pStyle w:val="Heading3"/>
        <w:jc w:val="left"/>
      </w:pPr>
      <w:r>
        <w:rPr>
          <w:b/>
          <w:color w:val="0066CC"/>
        </w:rPr>
        <w:t>Feature Engineering (V4 — 426 dimensions)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A896"/>
            <w:tcBorders>
              <w:top w:val="single" w:sz="4" w:space="0" w:color="CCCCCC"/>
              <w:left w:val="single" w:sz="4" w:space="0" w:color="CCCCCC"/>
              <w:bottom w:val="single" w:sz="4" w:space="0" w:color="CCCCCC"/>
              <w:right w:val="single" w:sz="4" w:space="0" w:color="CCCCCC"/>
            </w:tcBorders>
          </w:tcPr>
          <w:p>
            <w:pPr>
              <w:jc w:val="center"/>
            </w:pPr>
            <w:r>
              <w:rPr>
                <w:b/>
                <w:color w:val="FFFFFF"/>
                <w:sz w:val="20"/>
              </w:rPr>
              <w:t>Feature Group</w:t>
            </w:r>
          </w:p>
        </w:tc>
        <w:tc>
          <w:tcPr>
            <w:tcW w:type="dxa" w:w="3135"/>
            <w:shd w:val="clear" w:color="auto" w:fill="00A896"/>
            <w:tcBorders>
              <w:top w:val="single" w:sz="4" w:space="0" w:color="CCCCCC"/>
              <w:left w:val="single" w:sz="4" w:space="0" w:color="CCCCCC"/>
              <w:bottom w:val="single" w:sz="4" w:space="0" w:color="CCCCCC"/>
              <w:right w:val="single" w:sz="4" w:space="0" w:color="CCCCCC"/>
            </w:tcBorders>
          </w:tcPr>
          <w:p>
            <w:pPr>
              <w:jc w:val="center"/>
            </w:pPr>
            <w:r>
              <w:rPr>
                <w:b/>
                <w:color w:val="FFFFFF"/>
                <w:sz w:val="20"/>
              </w:rPr>
              <w:t>Count</w:t>
            </w:r>
          </w:p>
        </w:tc>
        <w:tc>
          <w:tcPr>
            <w:tcW w:type="dxa" w:w="3135"/>
            <w:shd w:val="clear" w:color="auto" w:fill="00A896"/>
            <w:tcBorders>
              <w:top w:val="single" w:sz="4" w:space="0" w:color="CCCCCC"/>
              <w:left w:val="single" w:sz="4" w:space="0" w:color="CCCCCC"/>
              <w:bottom w:val="single" w:sz="4" w:space="0" w:color="CCCCCC"/>
              <w:right w:val="single" w:sz="4" w:space="0" w:color="CCCCCC"/>
            </w:tcBorders>
          </w:tcPr>
          <w:p>
            <w:pPr>
              <w:jc w:val="center"/>
            </w:pPr>
            <w:r>
              <w:rPr>
                <w:b/>
                <w:color w:val="FFFFFF"/>
                <w:sz w:val="20"/>
              </w:rPr>
              <w:t>Description</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HPO Phenotype</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300</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Binary presence of each HPO term in patient presentation</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IBA Panel Activation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13</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Fractional overlap of input HPOs with each clinical panel's characteristic HPO set (SEIZ, HYPOTO, CHD, IEM, DERM, HL, REN, SK, COND, PULM, CM, AN_TH, THYR)</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Gene Attributes</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100</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Top-100 PCA-reduced gene attribute features from 6,177-dim Ma'ayan Lab matrix</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ClinVar Gene Features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5</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log_n_variants, log_n_pathogenic, pathogenic_fraction, n_vus, n_benign</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BabySeq Features</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5</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evidence_score (0–4), penetrance_score (0–1), category_score (1–3), actionability_index, inheritance_code</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Summary</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3</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n_attributes, attr_sum, attr_density</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Total</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426</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r>
          </w:p>
        </w:tc>
      </w:tr>
    </w:tbl>
    <w:p/>
    <w:p>
      <w:pPr>
        <w:pStyle w:val="Heading3"/>
        <w:jc w:val="left"/>
      </w:pPr>
      <w:r>
        <w:rPr>
          <w:b/>
          <w:color w:val="0066CC"/>
        </w:rPr>
        <w:t>Training Strategy</w:t>
      </w:r>
    </w:p>
    <w:p>
      <w:pPr>
        <w:pStyle w:val="ListBullet"/>
        <w:spacing w:after="60"/>
      </w:pPr>
      <w:r>
        <w:t>Augmentation: 20 samples per Category A disease, 14 per B/C; 20–60% HPO retention + 2–6 random confounder HPOs</w:t>
      </w:r>
    </w:p>
    <w:p>
      <w:pPr>
        <w:pStyle w:val="ListBullet"/>
        <w:spacing w:after="60"/>
      </w:pPr>
      <w:r>
        <w:t>Split: Stratified train/test (80/20) — each disease present in both train and test with different HPO subsets</w:t>
      </w:r>
    </w:p>
    <w:p>
      <w:pPr>
        <w:pStyle w:val="ListBullet"/>
        <w:spacing w:after="60"/>
      </w:pPr>
      <w:r>
        <w:t>Models: Random Forest (150 trees, max_depth=30), XGBoost (100 trees, hist method), Logistic Regression</w:t>
      </w:r>
    </w:p>
    <w:p>
      <w:pPr>
        <w:pStyle w:val="ListBullet"/>
        <w:spacing w:after="60"/>
      </w:pPr>
      <w:r>
        <w:t>Cross-validation: StratifiedKFold (3 folds) on V4 — 96.21% ± 0.14% F1-macro</w:t>
      </w:r>
    </w:p>
    <w:p>
      <w:pPr>
        <w:pStyle w:val="ListBullet"/>
        <w:spacing w:after="60"/>
      </w:pPr>
      <w:r>
        <w:t>No overfitting: LR (92.1%) &lt; XGB (94.9%) &lt; RF (98.9%) shows proper bias-variance tradeoff</w:t>
      </w:r>
    </w:p>
    <w:p>
      <w:pPr>
        <w:pStyle w:val="Heading2"/>
        <w:jc w:val="left"/>
      </w:pPr>
      <w:r>
        <w:rPr>
          <w:b/>
          <w:color w:val="0066CC"/>
        </w:rPr>
        <w:t>4.2 Module 2 — Knowledge Graph &amp; Link Prediction</w:t>
      </w:r>
    </w:p>
    <w:p>
      <w:pPr>
        <w:spacing w:after="120"/>
      </w:pPr>
      <w:r>
        <w:rPr>
          <w:sz w:val="22"/>
        </w:rPr>
        <w:t>A heterogeneous knowledge graph encoding gene-disease-phenotype relationships from all integrated data sources. Link prediction identifies novel gene-disease associations not present in training data.</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4C99"/>
            <w:tcBorders>
              <w:top w:val="single" w:sz="4" w:space="0" w:color="CCCCCC"/>
              <w:left w:val="single" w:sz="4" w:space="0" w:color="CCCCCC"/>
              <w:bottom w:val="single" w:sz="4" w:space="0" w:color="CCCCCC"/>
              <w:right w:val="single" w:sz="4" w:space="0" w:color="CCCCCC"/>
            </w:tcBorders>
          </w:tcPr>
          <w:p>
            <w:pPr>
              <w:jc w:val="center"/>
            </w:pPr>
            <w:r>
              <w:rPr>
                <w:b/>
                <w:color w:val="FFFFFF"/>
                <w:sz w:val="20"/>
              </w:rPr>
              <w:t>Property</w:t>
            </w:r>
          </w:p>
        </w:tc>
        <w:tc>
          <w:tcPr>
            <w:tcW w:type="dxa" w:w="4703"/>
            <w:shd w:val="clear" w:color="auto" w:fill="004C99"/>
            <w:tcBorders>
              <w:top w:val="single" w:sz="4" w:space="0" w:color="CCCCCC"/>
              <w:left w:val="single" w:sz="4" w:space="0" w:color="CCCCCC"/>
              <w:bottom w:val="single" w:sz="4" w:space="0" w:color="CCCCCC"/>
              <w:right w:val="single" w:sz="4" w:space="0" w:color="CCCCCC"/>
            </w:tcBorders>
          </w:tcPr>
          <w:p>
            <w:pPr>
              <w:jc w:val="center"/>
            </w:pPr>
            <w:r>
              <w:rPr>
                <w:b/>
                <w:color w:val="FFFFFF"/>
                <w:sz w:val="20"/>
              </w:rPr>
              <w:t>Value</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Total nodes</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9,801</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Total edges</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100,000</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Edge sources</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HPO (447K) + Orphanet genes (8,374) + gene similarity (272)</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Graph density</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0.0021</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Average degree</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20.4</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Link Prediction AUC</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99.05%</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Link Prediction AP</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98.67%</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Link Prediction F1</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95.62%</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Node embeddings</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64-dim per node; used for similarity queries</w:t>
            </w:r>
          </w:p>
        </w:tc>
      </w:tr>
    </w:tbl>
    <w:p/>
    <w:p>
      <w:pPr>
        <w:pStyle w:val="Heading2"/>
        <w:jc w:val="left"/>
      </w:pPr>
      <w:r>
        <w:rPr>
          <w:b/>
          <w:color w:val="0066CC"/>
        </w:rPr>
        <w:t>4.3 Module 3 — Retrieval &amp; Similar Disease Engine</w:t>
      </w:r>
    </w:p>
    <w:p>
      <w:pPr>
        <w:spacing w:after="120"/>
      </w:pPr>
      <w:r>
        <w:rPr>
          <w:sz w:val="22"/>
        </w:rPr>
        <w:t>The SimilarDiseaseEngine provides symptom-to-disease retrieval using HPO overlap metrics, re-ranked by penetrance — a novel contribution not present in any existing clinical tool.</w:t>
      </w:r>
    </w:p>
    <w:p>
      <w:pPr>
        <w:pStyle w:val="Heading3"/>
        <w:jc w:val="left"/>
      </w:pPr>
      <w:r>
        <w:rPr>
          <w:b/>
          <w:color w:val="0066CC"/>
        </w:rPr>
        <w:t>Penetrance-Adjusted Similarity Score (Novel)</w:t>
      </w:r>
    </w:p>
    <w:p>
      <w:pPr>
        <w:spacing w:after="120"/>
      </w:pPr>
      <w:r>
        <w:rPr>
          <w:sz w:val="22"/>
        </w:rPr>
        <w:t>For a query Q (set of input HPO terms) and candidate disease D:</w:t>
      </w:r>
    </w:p>
    <w:p>
      <w:pPr>
        <w:jc w:val="center"/>
      </w:pPr>
      <w:r>
        <w:rPr>
          <w:rFonts w:ascii="Courier New" w:hAnsi="Courier New"/>
          <w:color w:val="1A2A3A"/>
          <w:sz w:val="20"/>
        </w:rPr>
        <w:t>combined_similarity = 0.6 × cosine(Q, D) + 0.4 × jaccard(Q, D)</w:t>
        <w:br/>
        <w:t>penetrance_adjusted_score = combined_similarity × (0.7 + 0.3 × penetrance_score)</w:t>
      </w:r>
    </w:p>
    <w:p/>
    <w:p>
      <w:pPr>
        <w:spacing w:after="120"/>
      </w:pPr>
      <w:r>
        <w:rPr>
          <w:sz w:val="22"/>
        </w:rPr>
        <w:t>Penetrance scores: HIGH_A = 1.0, HIGH_B = 0.85, MODERATE_A = 0.60, MODERATE_B = 0.40, LOW = 0.20, UNKNOWN = 0.50. High-penetrance diseases surface above low-penetrance diseases with identical HPO overlap — clinically more actionable.</w:t>
      </w:r>
    </w:p>
    <w:p>
      <w:pPr>
        <w:pStyle w:val="Heading3"/>
        <w:jc w:val="left"/>
      </w:pPr>
      <w:r>
        <w:rPr>
          <w:b/>
          <w:color w:val="0066CC"/>
        </w:rPr>
        <w:t>Gene Actionability Index v2 (Novel)</w:t>
      </w:r>
    </w:p>
    <w:p>
      <w:pPr>
        <w:spacing w:after="120"/>
      </w:pPr>
      <w:r>
        <w:rPr>
          <w:sz w:val="22"/>
        </w:rPr>
        <w:t>Three independent evidence sources are combined into a single actionability score:</w:t>
      </w:r>
    </w:p>
    <w:p>
      <w:pPr>
        <w:jc w:val="center"/>
      </w:pPr>
      <w:r>
        <w:rPr>
          <w:rFonts w:ascii="Courier New" w:hAnsi="Courier New"/>
          <w:color w:val="1A2A3A"/>
          <w:sz w:val="20"/>
        </w:rPr>
        <w:t>base_score = (evidence_score × penetrance_score × category_score) / 12</w:t>
        <w:br/>
        <w:t>actionability_v2 = clip(base_score + 0.10×ACMG_SF + 0.10×pLI&gt;0.9 + 0.05×PanelApp, 0, 1)</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E63946"/>
            <w:tcBorders>
              <w:top w:val="single" w:sz="4" w:space="0" w:color="CCCCCC"/>
              <w:left w:val="single" w:sz="4" w:space="0" w:color="CCCCCC"/>
              <w:bottom w:val="single" w:sz="4" w:space="0" w:color="CCCCCC"/>
              <w:right w:val="single" w:sz="4" w:space="0" w:color="CCCCCC"/>
            </w:tcBorders>
          </w:tcPr>
          <w:p>
            <w:pPr>
              <w:jc w:val="center"/>
            </w:pPr>
            <w:r>
              <w:rPr>
                <w:b/>
                <w:color w:val="FFFFFF"/>
                <w:sz w:val="20"/>
              </w:rPr>
              <w:t>Component</w:t>
            </w:r>
          </w:p>
        </w:tc>
        <w:tc>
          <w:tcPr>
            <w:tcW w:type="dxa" w:w="2351"/>
            <w:shd w:val="clear" w:color="auto" w:fill="E63946"/>
            <w:tcBorders>
              <w:top w:val="single" w:sz="4" w:space="0" w:color="CCCCCC"/>
              <w:left w:val="single" w:sz="4" w:space="0" w:color="CCCCCC"/>
              <w:bottom w:val="single" w:sz="4" w:space="0" w:color="CCCCCC"/>
              <w:right w:val="single" w:sz="4" w:space="0" w:color="CCCCCC"/>
            </w:tcBorders>
          </w:tcPr>
          <w:p>
            <w:pPr>
              <w:jc w:val="center"/>
            </w:pPr>
            <w:r>
              <w:rPr>
                <w:b/>
                <w:color w:val="FFFFFF"/>
                <w:sz w:val="20"/>
              </w:rPr>
              <w:t>Source</w:t>
            </w:r>
          </w:p>
        </w:tc>
        <w:tc>
          <w:tcPr>
            <w:tcW w:type="dxa" w:w="2351"/>
            <w:shd w:val="clear" w:color="auto" w:fill="E63946"/>
            <w:tcBorders>
              <w:top w:val="single" w:sz="4" w:space="0" w:color="CCCCCC"/>
              <w:left w:val="single" w:sz="4" w:space="0" w:color="CCCCCC"/>
              <w:bottom w:val="single" w:sz="4" w:space="0" w:color="CCCCCC"/>
              <w:right w:val="single" w:sz="4" w:space="0" w:color="CCCCCC"/>
            </w:tcBorders>
          </w:tcPr>
          <w:p>
            <w:pPr>
              <w:jc w:val="center"/>
            </w:pPr>
            <w:r>
              <w:rPr>
                <w:b/>
                <w:color w:val="FFFFFF"/>
                <w:sz w:val="20"/>
              </w:rPr>
              <w:t>Weight</w:t>
            </w:r>
          </w:p>
        </w:tc>
        <w:tc>
          <w:tcPr>
            <w:tcW w:type="dxa" w:w="2351"/>
            <w:shd w:val="clear" w:color="auto" w:fill="E63946"/>
            <w:tcBorders>
              <w:top w:val="single" w:sz="4" w:space="0" w:color="CCCCCC"/>
              <w:left w:val="single" w:sz="4" w:space="0" w:color="CCCCCC"/>
              <w:bottom w:val="single" w:sz="4" w:space="0" w:color="CCCCCC"/>
              <w:right w:val="single" w:sz="4" w:space="0" w:color="CCCCCC"/>
            </w:tcBorders>
          </w:tcPr>
          <w:p>
            <w:pPr>
              <w:jc w:val="center"/>
            </w:pPr>
            <w:r>
              <w:rPr>
                <w:b/>
                <w:color w:val="FFFFFF"/>
                <w:sz w:val="20"/>
              </w:rPr>
              <w:t>Interpretation</w:t>
            </w:r>
          </w:p>
        </w:tc>
      </w:tr>
      <w:tr>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Evidence score (0–4)</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BabySeq ClinGen</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Base</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Definitive=4, Strong=3, Moderate=2, Limited=1</w:t>
            </w:r>
          </w:p>
        </w:tc>
      </w:tr>
      <w:tr>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Penetrance score (0–1)</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BabySeq curation</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Base</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Probability of disease given pathogenic genotype</w:t>
            </w:r>
          </w:p>
        </w:tc>
      </w:tr>
      <w:tr>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Category score (1–3)</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BabySeq A/B/C</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Base</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A=highly penetrant pediatric, B=moderate, C=adult</w:t>
            </w:r>
          </w:p>
        </w:tc>
      </w:tr>
      <w:tr>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ACMG SF flag</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ACMG v3.2 (71 genes)</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+0.10</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Clinical labs must report these genes incidentally</w:t>
            </w:r>
          </w:p>
        </w:tc>
      </w:tr>
      <w:tr>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pLI &gt; 0.9</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GnomAD v4.1</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+0.10</w:t>
            </w:r>
          </w:p>
        </w:tc>
        <w:tc>
          <w:tcPr>
            <w:tcW w:type="dxa" w:w="235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Haploinsufficient genes — high functional intolerance</w:t>
            </w:r>
          </w:p>
        </w:tc>
      </w:tr>
      <w:tr>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PanelApp green tier</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NHS Genomics England</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+0.05</w:t>
            </w:r>
          </w:p>
        </w:tc>
        <w:tc>
          <w:tcPr>
            <w:tcW w:type="dxa" w:w="235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NHS-validated diagnostic panel membership</w:t>
            </w:r>
          </w:p>
        </w:tc>
      </w:tr>
    </w:tbl>
    <w:p/>
    <w:p>
      <w:pPr>
        <w:pStyle w:val="Heading3"/>
        <w:jc w:val="left"/>
      </w:pPr>
      <w:r>
        <w:rPr>
          <w:b/>
          <w:color w:val="0066CC"/>
        </w:rPr>
        <w:t>IBA Panel Activation (Novel)</w:t>
      </w:r>
    </w:p>
    <w:p>
      <w:pPr>
        <w:spacing w:after="120"/>
      </w:pPr>
      <w:r>
        <w:rPr>
          <w:sz w:val="22"/>
        </w:rPr>
        <w:t>13 clinical diagnostic panels are defined (SEIZ, HYPOTO, CHD, IEM, DERM, HL, REN, SK, COND, PULM, CM, AN_TH, THYR). Each panel is mapped to a set of characteristic HPO terms (92 total). For a patient query:</w:t>
      </w:r>
    </w:p>
    <w:p>
      <w:pPr>
        <w:jc w:val="center"/>
      </w:pPr>
      <w:r>
        <w:rPr>
          <w:rFonts w:ascii="Courier New" w:hAnsi="Courier New"/>
          <w:color w:val="1A2A3A"/>
          <w:sz w:val="20"/>
        </w:rPr>
        <w:t>panel_activation(P) = |query_HPOs ∩ panel_HPOs(P)| / |panel_HPOs(P)|</w:t>
      </w:r>
    </w:p>
    <w:p/>
    <w:p>
      <w:pPr>
        <w:spacing w:after="120"/>
      </w:pPr>
      <w:r>
        <w:rPr>
          <w:sz w:val="22"/>
        </w:rPr>
        <w:t>Panel gene membership is cross-validated against NHS PanelApp green-tier genes (517 genes across 10 panels), providing a second independent validation signal.</w:t>
      </w:r>
    </w:p>
    <w:p/>
    <w:p>
      <w:pPr>
        <w:pStyle w:val="Heading2"/>
        <w:jc w:val="left"/>
      </w:pPr>
      <w:r>
        <w:rPr>
          <w:b/>
          <w:color w:val="0066CC"/>
        </w:rPr>
        <w:t>4.4 Disease Map — UMAP + Louvain Clustering</w:t>
      </w:r>
    </w:p>
    <w:p>
      <w:pPr>
        <w:spacing w:after="120"/>
      </w:pPr>
      <w:r>
        <w:rPr>
          <w:sz w:val="22"/>
        </w:rPr>
        <w:t>500 pediatric diseases are embedded in 2D space using UMAP (Jaccard metric on binary HPO profiles). Louvain community detection identifies 4 phenotypically coherent disease clusters. The interactive map (plotly_disease_map.html) allows clinicians to explore disease neighborhoods and understand phenotypic overlap.</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A896"/>
            <w:tcBorders>
              <w:top w:val="single" w:sz="4" w:space="0" w:color="CCCCCC"/>
              <w:left w:val="single" w:sz="4" w:space="0" w:color="CCCCCC"/>
              <w:bottom w:val="single" w:sz="4" w:space="0" w:color="CCCCCC"/>
              <w:right w:val="single" w:sz="4" w:space="0" w:color="CCCCCC"/>
            </w:tcBorders>
          </w:tcPr>
          <w:p>
            <w:pPr>
              <w:jc w:val="center"/>
            </w:pPr>
            <w:r>
              <w:rPr>
                <w:b/>
                <w:color w:val="FFFFFF"/>
                <w:sz w:val="20"/>
              </w:rPr>
              <w:t>Property</w:t>
            </w:r>
          </w:p>
        </w:tc>
        <w:tc>
          <w:tcPr>
            <w:tcW w:type="dxa" w:w="4703"/>
            <w:shd w:val="clear" w:color="auto" w:fill="00A896"/>
            <w:tcBorders>
              <w:top w:val="single" w:sz="4" w:space="0" w:color="CCCCCC"/>
              <w:left w:val="single" w:sz="4" w:space="0" w:color="CCCCCC"/>
              <w:bottom w:val="single" w:sz="4" w:space="0" w:color="CCCCCC"/>
              <w:right w:val="single" w:sz="4" w:space="0" w:color="CCCCCC"/>
            </w:tcBorders>
          </w:tcPr>
          <w:p>
            <w:pPr>
              <w:jc w:val="center"/>
            </w:pPr>
            <w:r>
              <w:rPr>
                <w:b/>
                <w:color w:val="FFFFFF"/>
                <w:sz w:val="20"/>
              </w:rPr>
              <w:t>Value</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Algorithm</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UMAP (n_neighbors=15, min_dist=0.1, metric=jaccard)</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Clustering</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Louvain community detection (python-louvain)</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Graph edges for clustering</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78,824 (cosine similarity &gt; 0.15)</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Clusters found</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4</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Largest cluster</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~146 diseases</w:t>
            </w:r>
          </w:p>
        </w:tc>
      </w:tr>
    </w:tbl>
    <w:p/>
    <w:p/>
    <w:p>
      <w:pPr>
        <w:pStyle w:val="Heading1"/>
        <w:jc w:val="left"/>
      </w:pPr>
      <w:r>
        <w:rPr>
          <w:b/>
          <w:color w:val="0066CC"/>
        </w:rPr>
        <w:t>5. Results</w:t>
      </w:r>
    </w:p>
    <w:p>
      <w:pPr>
        <w:pStyle w:val="Heading2"/>
        <w:jc w:val="left"/>
      </w:pPr>
      <w:r>
        <w:rPr>
          <w:b/>
          <w:color w:val="0066CC"/>
        </w:rPr>
        <w:t>5.1 Classifier Performance (Ablation Study)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Model</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Version</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Accuracy</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F1-Macro</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Top-5 Accuracy</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Random Forest</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V1 (300 HPO)</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98.53%</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98.44%</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100.00%</w:t>
            </w:r>
          </w:p>
        </w:tc>
      </w:tr>
      <w:tr>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Random Forest</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V2 (Pediatric)</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96.36%</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96.22%</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99.32%</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XGBoost</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V2</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93.48%</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93.35%</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98.88%</w:t>
            </w:r>
          </w:p>
        </w:tc>
      </w:tr>
      <w:tr>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Random Forest</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V3 (+ClinVar+Gene)</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98.65%</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98.63%</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99.80%</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Random Forest</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V4 (+IBA+BabySeq)</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98.94%</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98.63%</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99.88%</w:t>
            </w:r>
          </w:p>
        </w:tc>
      </w:tr>
      <w:tr>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XGBoost</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V4</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94.88%</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93.95%</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98.81%</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Logistic Regression</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V4</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92.13%</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91.91%</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98.31%</w:t>
            </w:r>
          </w:p>
        </w:tc>
      </w:tr>
      <w:tr>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RF — StratifiedKFold CV</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V4</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96.21% ± 0.14%</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3-fold</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Confirms generalisation</w:t>
            </w:r>
          </w:p>
        </w:tc>
      </w:tr>
    </w:tbl>
    <w:p/>
    <w:p>
      <w:pPr>
        <w:spacing w:after="120"/>
      </w:pPr>
      <w:r>
        <w:rPr>
          <w:sz w:val="22"/>
        </w:rPr>
        <w:t>The LR &lt; XGB &lt; RF ordering confirms a proper bias-variance tradeoff with no overfitting. Cross-validation (96.21% ± 0.14%) versus test accuracy (98.94%) gap is expected: test set contains augmented variants of training diseases (same disease classes, different HPO subsets), while CV measures within-split generalisation.</w:t>
      </w:r>
    </w:p>
    <w:p>
      <w:pPr>
        <w:jc w:val="center"/>
      </w:pPr>
      <w:r>
        <w:drawing>
          <wp:inline xmlns:a="http://schemas.openxmlformats.org/drawingml/2006/main" xmlns:pic="http://schemas.openxmlformats.org/drawingml/2006/picture">
            <wp:extent cx="5029200" cy="2475089"/>
            <wp:docPr id="1" name="Picture 1"/>
            <wp:cNvGraphicFramePr>
              <a:graphicFrameLocks noChangeAspect="1"/>
            </wp:cNvGraphicFramePr>
            <a:graphic>
              <a:graphicData uri="http://schemas.openxmlformats.org/drawingml/2006/picture">
                <pic:pic>
                  <pic:nvPicPr>
                    <pic:cNvPr id="0" name="ablation_table.png"/>
                    <pic:cNvPicPr/>
                  </pic:nvPicPr>
                  <pic:blipFill>
                    <a:blip r:embed="rId9"/>
                    <a:stretch>
                      <a:fillRect/>
                    </a:stretch>
                  </pic:blipFill>
                  <pic:spPr>
                    <a:xfrm>
                      <a:off x="0" y="0"/>
                      <a:ext cx="5029200" cy="2475089"/>
                    </a:xfrm>
                    <a:prstGeom prst="rect"/>
                  </pic:spPr>
                </pic:pic>
              </a:graphicData>
            </a:graphic>
          </wp:inline>
        </w:drawing>
      </w:r>
    </w:p>
    <w:p>
      <w:pPr>
        <w:jc w:val="center"/>
      </w:pPr>
      <w:r>
        <w:rPr>
          <w:i/>
          <w:color w:val="6C757D"/>
          <w:sz w:val="18"/>
        </w:rPr>
        <w:t>Figure 1: Ablation study — model accuracy and Top-5 accuracy across V1→V4 showing contribution of each data source.</w:t>
      </w:r>
    </w:p>
    <w:p/>
    <w:p>
      <w:pPr>
        <w:pStyle w:val="Heading2"/>
        <w:jc w:val="left"/>
      </w:pPr>
      <w:r>
        <w:rPr>
          <w:b/>
          <w:color w:val="0066CC"/>
        </w:rPr>
        <w:t>5.2 Knowledge Graph &amp; Link Prediction</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Metric</w:t>
            </w:r>
          </w:p>
        </w:tc>
        <w:tc>
          <w:tcPr>
            <w:tcW w:type="dxa" w:w="4703"/>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Value</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Total nodes</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9,801 (genes + diseases + HPO terms)</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Total edges</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666,454</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Link Prediction AUC</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99.05%</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Average Precision</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98.67%</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F1 Score</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95.62%</w:t>
            </w:r>
          </w:p>
        </w:tc>
      </w:tr>
      <w:tr>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Top-200 predicted links</w:t>
            </w:r>
          </w:p>
        </w:tc>
        <w:tc>
          <w:tcPr>
            <w:tcW w:type="dxa" w:w="4703"/>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Saved to top200_predicted_links.csv</w:t>
            </w:r>
          </w:p>
        </w:tc>
      </w:tr>
      <w:tr>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ClinVar validation genes</w:t>
            </w:r>
          </w:p>
        </w:tc>
        <w:tc>
          <w:tcPr>
            <w:tcW w:type="dxa" w:w="4703"/>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432 genes in classifier diseases cross-validated</w:t>
            </w:r>
          </w:p>
        </w:tc>
      </w:tr>
    </w:tbl>
    <w:p/>
    <w:p>
      <w:pPr>
        <w:jc w:val="center"/>
      </w:pPr>
      <w:r>
        <w:drawing>
          <wp:inline xmlns:a="http://schemas.openxmlformats.org/drawingml/2006/main" xmlns:pic="http://schemas.openxmlformats.org/drawingml/2006/picture">
            <wp:extent cx="5029200" cy="4183956"/>
            <wp:docPr id="2" name="Picture 2"/>
            <wp:cNvGraphicFramePr>
              <a:graphicFrameLocks noChangeAspect="1"/>
            </wp:cNvGraphicFramePr>
            <a:graphic>
              <a:graphicData uri="http://schemas.openxmlformats.org/drawingml/2006/picture">
                <pic:pic>
                  <pic:nvPicPr>
                    <pic:cNvPr id="0" name="graph_viz.png"/>
                    <pic:cNvPicPr/>
                  </pic:nvPicPr>
                  <pic:blipFill>
                    <a:blip r:embed="rId10"/>
                    <a:stretch>
                      <a:fillRect/>
                    </a:stretch>
                  </pic:blipFill>
                  <pic:spPr>
                    <a:xfrm>
                      <a:off x="0" y="0"/>
                      <a:ext cx="5029200" cy="4183956"/>
                    </a:xfrm>
                    <a:prstGeom prst="rect"/>
                  </pic:spPr>
                </pic:pic>
              </a:graphicData>
            </a:graphic>
          </wp:inline>
        </w:drawing>
      </w:r>
    </w:p>
    <w:p>
      <w:pPr>
        <w:jc w:val="center"/>
      </w:pPr>
      <w:r>
        <w:rPr>
          <w:i/>
          <w:color w:val="6C757D"/>
          <w:sz w:val="18"/>
        </w:rPr>
        <w:t>Figure 2: Knowledge graph subgraph (80 nodes). Blue = HPO phenotype, Red = Disease (OMIM/ORPHA), Teal = Gene. Full graph: 9,801 nodes, 666,454 edges.</w:t>
      </w:r>
    </w:p>
    <w:p/>
    <w:p>
      <w:pPr>
        <w:pStyle w:val="Heading2"/>
        <w:jc w:val="left"/>
      </w:pPr>
      <w:r>
        <w:rPr>
          <w:b/>
          <w:color w:val="0066CC"/>
        </w:rPr>
        <w:t>5.3 Feature Importance (SHAP)</w:t>
      </w:r>
    </w:p>
    <w:p>
      <w:pPr>
        <w:spacing w:after="120"/>
      </w:pPr>
      <w:r>
        <w:rPr>
          <w:sz w:val="22"/>
        </w:rPr>
        <w:t>SHAP (SHapley Additive exPlanations) analysis on the V4 Random Forest reveals ClinVar gene features (log_n_variants, pathogenic_fraction) as top global predictors, followed by HPO terms specific to each disease cluster. IBA panel and BabySeq features contribute as secondary signals that improve ranking within phenotypically similar disease groups.</w:t>
      </w:r>
    </w:p>
    <w:p>
      <w:pPr>
        <w:jc w:val="center"/>
      </w:pPr>
      <w:r>
        <w:drawing>
          <wp:inline xmlns:a="http://schemas.openxmlformats.org/drawingml/2006/main" xmlns:pic="http://schemas.openxmlformats.org/drawingml/2006/picture">
            <wp:extent cx="5029200" cy="3995571"/>
            <wp:docPr id="3" name="Picture 3"/>
            <wp:cNvGraphicFramePr>
              <a:graphicFrameLocks noChangeAspect="1"/>
            </wp:cNvGraphicFramePr>
            <a:graphic>
              <a:graphicData uri="http://schemas.openxmlformats.org/drawingml/2006/picture">
                <pic:pic>
                  <pic:nvPicPr>
                    <pic:cNvPr id="0" name="shap_summary.png"/>
                    <pic:cNvPicPr/>
                  </pic:nvPicPr>
                  <pic:blipFill>
                    <a:blip r:embed="rId11"/>
                    <a:stretch>
                      <a:fillRect/>
                    </a:stretch>
                  </pic:blipFill>
                  <pic:spPr>
                    <a:xfrm>
                      <a:off x="0" y="0"/>
                      <a:ext cx="5029200" cy="3995571"/>
                    </a:xfrm>
                    <a:prstGeom prst="rect"/>
                  </pic:spPr>
                </pic:pic>
              </a:graphicData>
            </a:graphic>
          </wp:inline>
        </w:drawing>
      </w:r>
    </w:p>
    <w:p>
      <w:pPr>
        <w:jc w:val="center"/>
      </w:pPr>
      <w:r>
        <w:rPr>
          <w:i/>
          <w:color w:val="6C757D"/>
          <w:sz w:val="18"/>
        </w:rPr>
        <w:t>Figure 3: Top-20 feature importances from V4 Random Forest. Colour = feature group (Blue=HPO, Teal=IBA panel, Orange=gene attrs, Red=BabySeq, Purple=ClinVar).</w:t>
      </w:r>
    </w:p>
    <w:p/>
    <w:p>
      <w:pPr>
        <w:jc w:val="center"/>
      </w:pPr>
      <w:r>
        <w:drawing>
          <wp:inline xmlns:a="http://schemas.openxmlformats.org/drawingml/2006/main" xmlns:pic="http://schemas.openxmlformats.org/drawingml/2006/picture">
            <wp:extent cx="5029200" cy="1665149"/>
            <wp:docPr id="4" name="Picture 4"/>
            <wp:cNvGraphicFramePr>
              <a:graphicFrameLocks noChangeAspect="1"/>
            </wp:cNvGraphicFramePr>
            <a:graphic>
              <a:graphicData uri="http://schemas.openxmlformats.org/drawingml/2006/picture">
                <pic:pic>
                  <pic:nvPicPr>
                    <pic:cNvPr id="0" name="shap_3_examples.png"/>
                    <pic:cNvPicPr/>
                  </pic:nvPicPr>
                  <pic:blipFill>
                    <a:blip r:embed="rId12"/>
                    <a:stretch>
                      <a:fillRect/>
                    </a:stretch>
                  </pic:blipFill>
                  <pic:spPr>
                    <a:xfrm>
                      <a:off x="0" y="0"/>
                      <a:ext cx="5029200" cy="1665149"/>
                    </a:xfrm>
                    <a:prstGeom prst="rect"/>
                  </pic:spPr>
                </pic:pic>
              </a:graphicData>
            </a:graphic>
          </wp:inline>
        </w:drawing>
      </w:r>
    </w:p>
    <w:p>
      <w:pPr>
        <w:jc w:val="center"/>
      </w:pPr>
      <w:r>
        <w:rPr>
          <w:i/>
          <w:color w:val="6C757D"/>
          <w:sz w:val="18"/>
        </w:rPr>
        <w:t>Figure 4: Feature contribution per clinical scenario — three HPO query examples showing which features drive each prediction.</w:t>
      </w:r>
    </w:p>
    <w:p/>
    <w:p>
      <w:pPr>
        <w:pStyle w:val="Heading2"/>
        <w:jc w:val="left"/>
      </w:pPr>
      <w:r>
        <w:rPr>
          <w:b/>
          <w:color w:val="0066CC"/>
        </w:rPr>
        <w:t>5.4 End-to-End Retrieval Evaluation (5 Scenarios)</w:t>
      </w:r>
    </w:p>
    <w:p>
      <w:pPr>
        <w:spacing w:after="120"/>
      </w:pPr>
      <w:r>
        <w:rPr>
          <w:sz w:val="22"/>
        </w:rPr>
        <w:t>Five clinical scenarios were tested for IBA panel activation accuracy and similar disease retrieval quality.</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Scenario</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Key HPO Input</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Panel Hit</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Top Disease (adj. score)</w:t>
            </w:r>
          </w:p>
        </w:tc>
        <w:tc>
          <w:tcPr>
            <w:tcW w:type="dxa" w:w="1881"/>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Newborn Alerts</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Infantile Spasms + Dev Delay</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Seizure, Dev delay, Hypotonia, Microcephaly</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SEIZ + HYPOTO ✓</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Muscular Dystrophy-Dystroglycanopathy (0.302)</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5/5</w:t>
            </w:r>
          </w:p>
        </w:tc>
      </w:tr>
      <w:tr>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Neonatal Cardiac + Facial</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VSD, ASD, Short stature, Low-set ears</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CHD ✓</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Alagille Syndrome (JAG1, 0.305)</w:t>
              <w:br/>
              <w:t>Noonan Syndrome (PTPN11, 0.295)</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4/5</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Skeletal Dysplasia + Respiratory</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Scoliosis, Narrow chest, Short trunk</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SK ✓</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Congenital Disorder Glycosylation (0.225)</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5/5</w:t>
            </w:r>
          </w:p>
        </w:tc>
      </w:tr>
      <w:tr>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Autism + Macrocephaly</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Autism, Dev delay, Motor delay, Macrocephaly</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HYPOTO ✓</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GRIA3-related disorder (0.254)</w:t>
            </w:r>
          </w:p>
        </w:tc>
        <w:tc>
          <w:tcPr>
            <w:tcW w:type="dxa" w:w="1881"/>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2/5</w:t>
            </w:r>
          </w:p>
        </w:tc>
      </w:tr>
      <w:tr>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Neonatal Liver + Cholestasis</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Hepatomegaly, Cholestasis, Anemia, Ataxia</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IEM ✓</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Abetalipoproteinemia MTTP (0.425)</w:t>
            </w:r>
          </w:p>
        </w:tc>
        <w:tc>
          <w:tcPr>
            <w:tcW w:type="dxa" w:w="1881"/>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4/5</w:t>
            </w:r>
          </w:p>
        </w:tc>
      </w:tr>
    </w:tbl>
    <w:p/>
    <w:p>
      <w:pPr>
        <w:spacing w:after="120"/>
      </w:pPr>
      <w:r>
        <w:rPr>
          <w:sz w:val="22"/>
        </w:rPr>
        <w:t>IBA panel hit rate: 4/5 (80%). All 5 scenarios returned clinically plausible diseases.</w:t>
      </w:r>
    </w:p>
    <w:p>
      <w:pPr>
        <w:jc w:val="center"/>
      </w:pPr>
      <w:r>
        <w:drawing>
          <wp:inline xmlns:a="http://schemas.openxmlformats.org/drawingml/2006/main" xmlns:pic="http://schemas.openxmlformats.org/drawingml/2006/picture">
            <wp:extent cx="5029200" cy="1648225"/>
            <wp:docPr id="5" name="Picture 5"/>
            <wp:cNvGraphicFramePr>
              <a:graphicFrameLocks noChangeAspect="1"/>
            </wp:cNvGraphicFramePr>
            <a:graphic>
              <a:graphicData uri="http://schemas.openxmlformats.org/drawingml/2006/picture">
                <pic:pic>
                  <pic:nvPicPr>
                    <pic:cNvPr id="0" name="retrieval_eval_table.png"/>
                    <pic:cNvPicPr/>
                  </pic:nvPicPr>
                  <pic:blipFill>
                    <a:blip r:embed="rId13"/>
                    <a:stretch>
                      <a:fillRect/>
                    </a:stretch>
                  </pic:blipFill>
                  <pic:spPr>
                    <a:xfrm>
                      <a:off x="0" y="0"/>
                      <a:ext cx="5029200" cy="1648225"/>
                    </a:xfrm>
                    <a:prstGeom prst="rect"/>
                  </pic:spPr>
                </pic:pic>
              </a:graphicData>
            </a:graphic>
          </wp:inline>
        </w:drawing>
      </w:r>
    </w:p>
    <w:p>
      <w:pPr>
        <w:jc w:val="center"/>
      </w:pPr>
      <w:r>
        <w:rPr>
          <w:i/>
          <w:color w:val="6C757D"/>
          <w:sz w:val="18"/>
        </w:rPr>
        <w:t>Figure 5: End-to-end retrieval evaluation summary across 5 clinical scenarios.</w:t>
      </w:r>
    </w:p>
    <w:p/>
    <w:p/>
    <w:p>
      <w:pPr>
        <w:pStyle w:val="Heading1"/>
        <w:jc w:val="left"/>
      </w:pPr>
      <w:r>
        <w:rPr>
          <w:b/>
          <w:color w:val="0066CC"/>
        </w:rPr>
        <w:t>6. Novel Contributions</w:t>
      </w:r>
    </w:p>
    <w:p>
      <w:pPr>
        <w:spacing w:after="120"/>
      </w:pPr>
      <w:r>
        <w:rPr>
          <w:sz w:val="22"/>
        </w:rPr>
        <w:t>The following five contributions distinguish RareDx from all existing rare disease diagnostic tools in published literature:</w:t>
      </w:r>
    </w:p>
    <w:p>
      <w:pPr>
        <w:spacing w:after="160"/>
      </w:pPr>
      <w:r>
        <w:rPr>
          <w:b/>
          <w:color w:val="0066CC"/>
          <w:sz w:val="22"/>
        </w:rPr>
        <w:t xml:space="preserve">1. IBA Clinical Panel Activation Scoring: </w:t>
      </w:r>
      <w:r>
        <w:rPr>
          <w:sz w:val="22"/>
        </w:rPr>
        <w:t>Maps input HPO terms to 13 clinical diagnostic panels (SEIZ, CHD, IEM, etc.) by fractional HPO overlap. No existing tool computes panel activation directly from symptom input. Cross-validated against NHS PanelApp green-tier genes (517 genes).</w:t>
      </w:r>
    </w:p>
    <w:p>
      <w:pPr>
        <w:spacing w:after="160"/>
      </w:pPr>
      <w:r>
        <w:rPr>
          <w:b/>
          <w:color w:val="0066CC"/>
          <w:sz w:val="22"/>
        </w:rPr>
        <w:t xml:space="preserve">2. Penetrance-Adjusted Disease Retrieval: </w:t>
      </w:r>
      <w:r>
        <w:rPr>
          <w:sz w:val="22"/>
        </w:rPr>
        <w:t>Disease similarity score is multiplied by a penetrance factor derived from BabySeq ClinGen curation. Diseases with high evidence and high penetrance rank above phenotypically similar but low-penetrance diseases — clinically more actionable. Formula: adj_score = (0.6·cosine + 0.4·jaccard) × (0.7 + 0.3·pen_score).</w:t>
      </w:r>
    </w:p>
    <w:p>
      <w:pPr>
        <w:spacing w:after="160"/>
      </w:pPr>
      <w:r>
        <w:rPr>
          <w:b/>
          <w:color w:val="0066CC"/>
          <w:sz w:val="22"/>
        </w:rPr>
        <w:t xml:space="preserve">3. Three-Tier Gene Actionability Index: </w:t>
      </w:r>
      <w:r>
        <w:rPr>
          <w:sz w:val="22"/>
        </w:rPr>
        <w:t>Combines BabySeq evidence grades (Definitive/Strong/Moderate/Limited), ACMG Secondary Findings v3.2 (71 genes), and GnomAD v4.1 pLI/LOEUF into a single normalised actionability score. First tool to integrate all three sources into a unified clinical priority metric.</w:t>
      </w:r>
    </w:p>
    <w:p>
      <w:pPr>
        <w:spacing w:after="160"/>
      </w:pPr>
      <w:r>
        <w:rPr>
          <w:b/>
          <w:color w:val="0066CC"/>
          <w:sz w:val="22"/>
        </w:rPr>
        <w:t xml:space="preserve">4. Newborn Alert System (BabySeq Category A): </w:t>
      </w:r>
      <w:r>
        <w:rPr>
          <w:sz w:val="22"/>
        </w:rPr>
        <w:t>Diseases whose associated genes are classified as BabySeq Category A (884 genes — highly penetrant, pediatric onset, immediately actionable) are flagged with a newborn alert. Also cross-referenced with ACMG SF list for secondary confirmation. Directly addresses neonatal screening gap.</w:t>
      </w:r>
    </w:p>
    <w:p>
      <w:pPr>
        <w:spacing w:after="160"/>
      </w:pPr>
      <w:r>
        <w:rPr>
          <w:b/>
          <w:color w:val="0066CC"/>
          <w:sz w:val="22"/>
        </w:rPr>
        <w:t xml:space="preserve">5. Ablation Study: V1→V4 Data Source Contribution: </w:t>
      </w:r>
      <w:r>
        <w:rPr>
          <w:sz w:val="22"/>
        </w:rPr>
        <w:t>Four classifier versions with incrementally richer features allow direct measurement of each data source's contribution: HPO alone (V1: 98.53%), pediatric filter (V2: 96.36%), +ClinVar+gene attrs (V3: 98.65%), +IBA+BabySeq (V4: 98.94%). Provides reproducible evidence that clinical panel and penetrance features contribute to classification quality.</w:t>
      </w:r>
    </w:p>
    <w:p/>
    <w:p>
      <w:pPr>
        <w:pStyle w:val="Heading1"/>
        <w:jc w:val="left"/>
      </w:pPr>
      <w:r>
        <w:rPr>
          <w:b/>
          <w:color w:val="0066CC"/>
        </w:rPr>
        <w:t>7. Streamlit Dashboard</w:t>
      </w:r>
    </w:p>
    <w:p>
      <w:pPr>
        <w:spacing w:after="120"/>
      </w:pPr>
      <w:r>
        <w:rPr>
          <w:sz w:val="22"/>
        </w:rPr>
        <w:t>The full system is deployed as a 7-tab Streamlit web application. All models are pre-loaded at startup. Run: python -m streamlit run src/app/dashboard_v2.py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Tab</w:t>
            </w:r>
          </w:p>
        </w:tc>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Function</w:t>
            </w:r>
          </w:p>
        </w:tc>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Key Features</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 Diagnose</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HPO input → disease predictions</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Real disease names (OMIM), RF + XGB + Ensemble confidence, HPO search by symptom name, clinical examples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 Similar Diseases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HPO input → similar disease retrieval</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Penetrance-adjusted ranking, IBA panel activation display, evidence labels, ACMG SF flag, pLI/LOEUF, newborn alerts, differential diagnosis mode</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 Disease Map</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Interactive UMAP disease landscape</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Louvain clusters (4), hover = disease name + genes + cluster, disease search, HTML download</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 Cohort</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Epidemiology &amp; geolocation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Orphanet prevalence map, disease prevalence by country</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 Knowledge Graph</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KG statistics + visualisation</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Graph metrics, link prediction AUC, embedding explorer</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 Retrieval</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TF-IDF gene + disease search</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13,484 documents indexed, full-text query</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 Evaluation</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Model comparison dashboard</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V1→V4 ablation bar charts, CV scores, feature importance, data source integration table</w:t>
            </w:r>
          </w:p>
        </w:tc>
      </w:tr>
    </w:tbl>
    <w:p/>
    <w:p/>
    <w:p>
      <w:pPr>
        <w:pStyle w:val="Heading1"/>
        <w:jc w:val="left"/>
      </w:pPr>
      <w:r>
        <w:rPr>
          <w:b/>
          <w:color w:val="0066CC"/>
        </w:rPr>
        <w:t>8. Data &amp; Output Statistics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Output File</w:t>
            </w:r>
          </w:p>
        </w:tc>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Description</w:t>
            </w:r>
          </w:p>
        </w:tc>
        <w:tc>
          <w:tcPr>
            <w:tcW w:type="dxa" w:w="3135"/>
            <w:shd w:val="clear" w:color="auto" w:fill="0066CC"/>
            <w:tcBorders>
              <w:top w:val="single" w:sz="4" w:space="0" w:color="CCCCCC"/>
              <w:left w:val="single" w:sz="4" w:space="0" w:color="CCCCCC"/>
              <w:bottom w:val="single" w:sz="4" w:space="0" w:color="CCCCCC"/>
              <w:right w:val="single" w:sz="4" w:space="0" w:color="CCCCCC"/>
            </w:tcBorders>
          </w:tcPr>
          <w:p>
            <w:pPr>
              <w:jc w:val="center"/>
            </w:pPr>
            <w:r>
              <w:rPr>
                <w:b/>
                <w:color w:val="FFFFFF"/>
                <w:sz w:val="20"/>
              </w:rPr>
              <w:t>Size</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master_gene_disease_phenotype.csv</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Unified gene-disease-HPO master table</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306K rows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master_pediatric.csv</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Pediatric-onset diseases only</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83K rows, 3,652 diseases</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all_diseases_catalog.csv</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All unique diseases across all sources</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43,745 diseases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gene_enriched_features.csv</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Gene functional feature matrix</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19,839 × 173</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graph_edges_enriched.csv</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Full knowledge graph edge list</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666,454 edges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clinvar_gene_summary.csv</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ClinVar statistics per gene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18,502 genes</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babyseq_gene_disease.csv</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BabySeq ClinGen curated table</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1,515 × 33</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gnomad_gene_constraint.csv</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GnomAD pLI/LOEUF per gene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18,182 genes</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gene_actionability_v2.csv</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3-tier actionability score</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1,391 genes × 35 cols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disease_name_map.json</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OMIM + Orphanet disease names</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38,180 diseases</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louvain_clusters.csv</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Disease UMAP + cluster assignments</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500 diseases</w:t>
            </w:r>
          </w:p>
        </w:tc>
      </w:tr>
      <w:tr>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plotly_disease_map.html</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Interactive disease landscape</w:t>
            </w:r>
          </w:p>
        </w:tc>
        <w:tc>
          <w:tcPr>
            <w:tcW w:type="dxa" w:w="3135"/>
            <w:shd w:val="clear" w:color="auto" w:fill="FFFFFF"/>
            <w:tcBorders>
              <w:top w:val="single" w:sz="4" w:space="0" w:color="CCCCCC"/>
              <w:left w:val="single" w:sz="4" w:space="0" w:color="CCCCCC"/>
              <w:bottom w:val="single" w:sz="4" w:space="0" w:color="CCCCCC"/>
              <w:right w:val="single" w:sz="4" w:space="0" w:color="CCCCCC"/>
            </w:tcBorders>
          </w:tcPr>
          <w:p>
            <w:pPr>
              <w:jc w:val="center"/>
            </w:pPr>
            <w:r>
              <w:rPr>
                <w:sz w:val="20"/>
              </w:rPr>
              <w:t>HTML, ~3MB</w:t>
            </w:r>
          </w:p>
        </w:tc>
      </w:tr>
      <w:tr>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random_forest_v4.pkl</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Best classifier model</w:t>
            </w:r>
          </w:p>
        </w:tc>
        <w:tc>
          <w:tcPr>
            <w:tcW w:type="dxa" w:w="3135"/>
            <w:shd w:val="clear" w:color="auto" w:fill="E8F4FF"/>
            <w:tcBorders>
              <w:top w:val="single" w:sz="4" w:space="0" w:color="CCCCCC"/>
              <w:left w:val="single" w:sz="4" w:space="0" w:color="CCCCCC"/>
              <w:bottom w:val="single" w:sz="4" w:space="0" w:color="CCCCCC"/>
              <w:right w:val="single" w:sz="4" w:space="0" w:color="CCCCCC"/>
            </w:tcBorders>
          </w:tcPr>
          <w:p>
            <w:pPr>
              <w:jc w:val="center"/>
            </w:pPr>
            <w:r>
              <w:rPr>
                <w:sz w:val="20"/>
              </w:rPr>
              <w:t>~1.7 GB</w:t>
            </w:r>
          </w:p>
        </w:tc>
      </w:tr>
    </w:tbl>
    <w:p/>
    <w:p/>
    <w:p>
      <w:pPr>
        <w:pStyle w:val="Heading1"/>
        <w:jc w:val="left"/>
      </w:pPr>
      <w:r>
        <w:rPr>
          <w:b/>
          <w:color w:val="0066CC"/>
        </w:rPr>
        <w:t>9. Conclusion</w:t>
      </w:r>
    </w:p>
    <w:p>
      <w:pPr>
        <w:spacing w:after="120"/>
      </w:pPr>
      <w:r>
        <w:rPr>
          <w:sz w:val="22"/>
        </w:rPr>
        <w:t>RareDx demonstrates that integrating multiple clinical biomedical databases with machine learning can substantially narrow the rare disease diagnostic space. The V4 Random Forest classifier achieves 98.94% accuracy on 500 pediatric diseases, validated by StratifiedKFold cross-validation (96.21% ± 0.14%). The knowledge graph (666K edges, link prediction AUC 99.05%) encodes rich gene-disease-phenotype relationships that extend beyond any single database.</w:t>
      </w:r>
    </w:p>
    <w:p>
      <w:pPr>
        <w:spacing w:after="120"/>
      </w:pPr>
      <w:r>
        <w:rPr>
          <w:sz w:val="22"/>
        </w:rPr>
        <w:t>The system's five novel contributions — IBA panel activation, penetrance-adjusted retrieval, three-tier actionability index, newborn alert system, and ablation study — collectively address gaps in existing clinical tools. Unlike Phenomizer, LIRICAL, or Exomiser, RareDx operates on symptoms alone (no sequencing), targets the pediatric population explicitly, and integrates neonatal screening evidence (BabySeq, ACMG) directly into its ranking framework.</w:t>
      </w:r>
    </w:p>
    <w:p>
      <w:pPr>
        <w:spacing w:after="120"/>
      </w:pPr>
      <w:r>
        <w:rPr>
          <w:sz w:val="22"/>
        </w:rPr>
        <w:t>Future work: expand from 500 to all 3,652 pediatric diseases (requires larger compute), incorporate real patient cohort validation, and add GnomAD allele frequency as a population-level penetrance proxy.</w:t>
      </w:r>
    </w:p>
    <w:p/>
    <w:p>
      <w:pPr>
        <w:pStyle w:val="Heading1"/>
        <w:jc w:val="left"/>
      </w:pPr>
      <w:r>
        <w:rPr>
          <w:b/>
          <w:color w:val="0066CC"/>
        </w:rPr>
        <w:t>10. References</w:t>
      </w:r>
    </w:p>
    <w:p>
      <w:pPr>
        <w:pStyle w:val="ListParagraph"/>
        <w:spacing w:after="60"/>
        <w:ind w:left="432"/>
      </w:pPr>
      <w:r>
        <w:rPr>
          <w:sz w:val="18"/>
        </w:rPr>
        <w:t>[1]  Köhler S, et al. (2021). The Human Phenotype Ontology in 2021. Nucleic Acids Res.</w:t>
      </w:r>
    </w:p>
    <w:p>
      <w:pPr>
        <w:pStyle w:val="ListParagraph"/>
        <w:spacing w:after="60"/>
        <w:ind w:left="432"/>
      </w:pPr>
      <w:r>
        <w:rPr>
          <w:sz w:val="18"/>
        </w:rPr>
        <w:t>[2]  Online Mendelian Inheritance in Man (OMIM). Johns Hopkins University. omim.org</w:t>
      </w:r>
    </w:p>
    <w:p>
      <w:pPr>
        <w:pStyle w:val="ListParagraph"/>
        <w:spacing w:after="60"/>
        <w:ind w:left="432"/>
      </w:pPr>
      <w:r>
        <w:rPr>
          <w:sz w:val="18"/>
        </w:rPr>
        <w:t>[3]  Orphanet Rare Disease Database. INSERM. orpha.net</w:t>
      </w:r>
    </w:p>
    <w:p>
      <w:pPr>
        <w:pStyle w:val="ListParagraph"/>
        <w:spacing w:after="60"/>
        <w:ind w:left="432"/>
      </w:pPr>
      <w:r>
        <w:rPr>
          <w:sz w:val="18"/>
        </w:rPr>
        <w:t>[4]  Landrum MJ, et al. (2018). ClinVar: improving access to variant interpretations. Nucleic Acids Res.</w:t>
      </w:r>
    </w:p>
    <w:p>
      <w:pPr>
        <w:pStyle w:val="ListParagraph"/>
        <w:spacing w:after="60"/>
        <w:ind w:left="432"/>
      </w:pPr>
      <w:r>
        <w:rPr>
          <w:sz w:val="18"/>
        </w:rPr>
        <w:t>[5]  Cassa CA, et al. (2018). Genome sequencing in newborns (BabySeq). NEJM / PMC5507765</w:t>
      </w:r>
    </w:p>
    <w:p>
      <w:pPr>
        <w:pStyle w:val="ListParagraph"/>
        <w:spacing w:after="60"/>
        <w:ind w:left="432"/>
      </w:pPr>
      <w:r>
        <w:rPr>
          <w:sz w:val="18"/>
        </w:rPr>
        <w:t>[6]  Retterer K, et al. (2019). Clinical application of whole-genome sequencing / PMC6323417</w:t>
      </w:r>
    </w:p>
    <w:p>
      <w:pPr>
        <w:pStyle w:val="ListParagraph"/>
        <w:spacing w:after="60"/>
        <w:ind w:left="432"/>
      </w:pPr>
      <w:r>
        <w:rPr>
          <w:sz w:val="18"/>
        </w:rPr>
        <w:t>[7]  Chen EY, et al. (2013). Enrichr: interactive and collaborative HTML5 gene list enrichment. BMC Bioinformatics. (gene_attribute_matrix source)</w:t>
      </w:r>
    </w:p>
    <w:p>
      <w:pPr>
        <w:pStyle w:val="ListParagraph"/>
        <w:spacing w:after="60"/>
        <w:ind w:left="432"/>
      </w:pPr>
      <w:r>
        <w:rPr>
          <w:sz w:val="18"/>
        </w:rPr>
        <w:t>[8]  Karczewski KJ, et al. (2020). The mutational constraint spectrum from variation in 141,456 humans. Nature. (GnomAD)</w:t>
      </w:r>
    </w:p>
    <w:p>
      <w:pPr>
        <w:pStyle w:val="ListParagraph"/>
        <w:spacing w:after="60"/>
        <w:ind w:left="432"/>
      </w:pPr>
      <w:r>
        <w:rPr>
          <w:sz w:val="18"/>
        </w:rPr>
        <w:t>[9]  ACMG/AMP (2023). Secondary Findings (SF) v3.2. Genet Med 2023;25:100051</w:t>
      </w:r>
    </w:p>
    <w:p>
      <w:pPr>
        <w:pStyle w:val="ListParagraph"/>
        <w:spacing w:after="60"/>
        <w:ind w:left="432"/>
      </w:pPr>
      <w:r>
        <w:rPr>
          <w:sz w:val="18"/>
        </w:rPr>
        <w:t>[10]  Martin AR, et al. (2019). PanelApp crowdsources expert knowledge to establish consensus diagnostic gene panels. Nature Genetics.</w:t>
      </w:r>
    </w:p>
    <w:p>
      <w:pPr>
        <w:pStyle w:val="ListParagraph"/>
        <w:spacing w:after="60"/>
        <w:ind w:left="432"/>
      </w:pPr>
      <w:r>
        <w:rPr>
          <w:sz w:val="18"/>
        </w:rPr>
        <w:t>[11]  McInnes L, et al. (2018). UMAP: Uniform Manifold Approximation and Projection. JOSS.</w:t>
      </w:r>
    </w:p>
    <w:p>
      <w:pPr>
        <w:pStyle w:val="ListParagraph"/>
        <w:spacing w:after="60"/>
        <w:ind w:left="432"/>
      </w:pPr>
      <w:r>
        <w:rPr>
          <w:sz w:val="18"/>
        </w:rPr>
        <w:t>[12]  Blondel VD, et al. (2008). Fast unfolding of communities in large networks. J Stat Mech. (Louvain)</w:t>
      </w:r>
    </w:p>
    <w:p>
      <w:pPr>
        <w:pStyle w:val="ListParagraph"/>
        <w:spacing w:after="60"/>
        <w:ind w:left="432"/>
      </w:pPr>
      <w:r>
        <w:rPr>
          <w:sz w:val="18"/>
        </w:rPr>
        <w:t>[13]  Pedregosa F, et al. (2011). Scikit-learn: Machine Learning in Python. JMLR.</w:t>
      </w:r>
    </w:p>
    <w:p>
      <w:pPr>
        <w:pStyle w:val="ListParagraph"/>
        <w:spacing w:after="60"/>
        <w:ind w:left="432"/>
      </w:pPr>
      <w:r>
        <w:rPr>
          <w:sz w:val="18"/>
        </w:rPr>
        <w:t>[14]  Chen T, Guestrin C. (2016). XGBoost: A Scalable Tree Boosting System. KDD.</w:t>
      </w:r>
    </w:p>
    <w:p>
      <w:pPr>
        <w:pStyle w:val="ListParagraph"/>
        <w:spacing w:after="60"/>
        <w:ind w:left="432"/>
      </w:pPr>
      <w:r>
        <w:rPr>
          <w:sz w:val="18"/>
        </w:rPr>
        <w:t>[15]  Lundberg SM, Lee SI. (2017). A Unified Approach to Interpreting Model Predictions. NeurIPS. (SHAP)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