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E40AF"/>
          <w:sz w:val="56"/>
        </w:rPr>
        <w:t>Evaluation Report</w:t>
      </w:r>
    </w:p>
    <w:p>
      <w:pPr>
        <w:jc w:val="center"/>
      </w:pPr>
      <w:r>
        <w:rPr>
          <w:rFonts w:ascii="Arial" w:hAnsi="Arial"/>
          <w:color w:val="64748B"/>
          <w:sz w:val="32"/>
        </w:rPr>
        <w:t>Uro-Oncologist vs AI Judges in Medical Oncology</w:t>
        <w:br/>
        <w:t>Therapy Recommendation Assessment</w:t>
      </w:r>
    </w:p>
    <w:p>
      <w:pPr>
        <w:jc w:val="center"/>
      </w:pPr>
      <w:r>
        <w:rPr>
          <w:rFonts w:ascii="Arial" w:hAnsi="Arial"/>
          <w:sz w:val="24"/>
        </w:rPr>
        <w:br/>
        <w:br/>
        <w:t>February 2026</w:t>
        <w:br/>
        <w:t>Renal Cell Carcinoma (RCC) — 69 Cases from German Tumor Boards</w:t>
      </w:r>
    </w:p>
    <w:p>
      <w:pPr>
        <w:jc w:val="center"/>
      </w:pPr>
      <w:r>
        <w:rPr>
          <w:rFonts w:ascii="Arial" w:hAnsi="Arial"/>
          <w:i/>
          <w:color w:val="64748B"/>
          <w:sz w:val="22"/>
        </w:rPr>
        <w:br/>
        <w:t>Prepared for Google AI Hackathon 2026</w:t>
      </w:r>
    </w:p>
    <w:p>
      <w:pPr>
        <w:jc w:val="center"/>
      </w:pPr>
      <w:r>
        <w:rPr>
          <w:rFonts w:ascii="Arial" w:hAnsi="Arial"/>
          <w:i/>
          <w:sz w:val="22"/>
        </w:rPr>
        <w:br/>
        <w:t>Reviewer: Dr. Radu Alexa, Board-Certified Uro-Oncologist</w:t>
      </w:r>
    </w:p>
    <w:p>
      <w:r>
        <w:br w:type="page"/>
      </w:r>
    </w:p>
    <w:p>
      <w:pPr>
        <w:pStyle w:val="Heading1"/>
      </w:pPr>
      <w:r>
        <w:t>1. Executive Summary</w:t>
      </w:r>
    </w:p>
    <w:p>
      <w:r>
        <w:t>This report presents a novel three-tier evaluation pipeline for assessing AI-generated therapy recommendations in clinical oncology. Across 414 predictions from 6 LLMs on 69 renal cell carcinoma (Nierenzellkarzinom, RCC) cases from German tumor boards (Tumordiskussionen), the pipeline combines automated AI judging with expert physician validation to establish a scalable, reproducible evaluation framework.</w:t>
      </w:r>
    </w:p>
    <w:p>
      <w:pPr>
        <w:pStyle w:val="Heading2"/>
      </w:pPr>
      <w:r>
        <w:t>Key Findings</w:t>
      </w:r>
    </w:p>
    <w:p>
      <w:pPr>
        <w:pStyle w:val="ListBullet"/>
      </w:pPr>
      <w:r>
        <w:rPr>
          <w:rFonts w:ascii="Arial" w:hAnsi="Arial"/>
          <w:sz w:val="20"/>
        </w:rPr>
        <w:t>Across all 414 predictions: 63.5% metastatic detection accuracy, 30.9% exact therapy match, 58.7% clinically acceptable therapies.</w:t>
      </w:r>
    </w:p>
    <w:p>
      <w:pPr>
        <w:pStyle w:val="ListBullet"/>
      </w:pPr>
      <w:r>
        <w:rPr>
          <w:rFonts w:ascii="Arial" w:hAnsi="Arial"/>
          <w:sz w:val="20"/>
        </w:rPr>
        <w:t>Best model by uro-oncologist review: MedGemma 27B (6.1/9 quality, 75.4% acceptable).</w:t>
      </w:r>
    </w:p>
    <w:p>
      <w:pPr>
        <w:pStyle w:val="ListBullet"/>
      </w:pPr>
      <w:r>
        <w:rPr>
          <w:rFonts w:ascii="Arial" w:hAnsi="Arial"/>
          <w:sz w:val="20"/>
        </w:rPr>
        <w:t>Best model by automated judge score: MedGemma 27B (avg overall 0.76/1.0).</w:t>
      </w:r>
    </w:p>
    <w:p>
      <w:pPr>
        <w:pStyle w:val="ListBullet"/>
      </w:pPr>
      <w:r>
        <w:rPr>
          <w:rFonts w:ascii="Arial" w:hAnsi="Arial"/>
          <w:sz w:val="20"/>
        </w:rPr>
        <w:t>GPT-5.2 shows substantial agreement with the uro-oncologist (Cohen's κ = 0.629).</w:t>
      </w:r>
    </w:p>
    <w:p>
      <w:pPr>
        <w:pStyle w:val="ListBullet"/>
      </w:pPr>
      <w:r>
        <w:rPr>
          <w:rFonts w:ascii="Arial" w:hAnsi="Arial"/>
          <w:sz w:val="20"/>
        </w:rPr>
        <w:t>MedGemma 27B shows substantial agreement with the uro-oncologist (Cohen's κ = 0.675).</w:t>
      </w:r>
    </w:p>
    <w:p>
      <w:pPr>
        <w:pStyle w:val="ListBullet"/>
      </w:pPr>
      <w:r>
        <w:rPr>
          <w:rFonts w:ascii="Arial" w:hAnsi="Arial"/>
          <w:sz w:val="20"/>
        </w:rPr>
        <w:t>Inter-judge agreement: κ = 0.725, 86.5% concordance across 414 evaluation pairs.</w:t>
      </w:r>
    </w:p>
    <w:p>
      <w:pPr>
        <w:pStyle w:val="ListBullet"/>
      </w:pPr>
      <w:r>
        <w:rPr>
          <w:rFonts w:ascii="Arial" w:hAnsi="Arial"/>
          <w:sz w:val="20"/>
        </w:rPr>
        <w:t>MedGemma self-judging bias: higher scores for own predictions (0.78 vs 0.69), significant (p=0.017).</w:t>
      </w:r>
    </w:p>
    <w:p>
      <w:pPr>
        <w:pStyle w:val="ListBullet"/>
      </w:pPr>
      <w:r>
        <w:rPr>
          <w:rFonts w:ascii="Arial" w:hAnsi="Arial"/>
          <w:sz w:val="20"/>
        </w:rPr>
        <w:t>Clinical safety: GPT-5.2 has lowest dangerous error rate (8.2% false positives).</w:t>
      </w:r>
    </w:p>
    <w:p>
      <w:r>
        <w:br w:type="page"/>
      </w:r>
    </w:p>
    <w:p>
      <w:pPr>
        <w:pStyle w:val="Heading1"/>
      </w:pPr>
      <w:r>
        <w:t>2. Project Overview</w:t>
      </w:r>
    </w:p>
    <w:p>
      <w:r>
        <w:t>This project investigates whether large language models (LLMs) can support clinical decision-making in oncology by generating appropriate therapy recommendations for renal cell carcinoma (RCC) patients presented at German tumor board discussions.</w:t>
      </w:r>
    </w:p>
    <w:p>
      <w:pPr>
        <w:pStyle w:val="Heading2"/>
      </w:pPr>
      <w:r>
        <w:t>Clinical Context</w:t>
      </w:r>
    </w:p>
    <w:p>
      <w:r>
        <w:t>Tumor boards are multidisciplinary meetings where specialists review complex cancer cases and agree on treatment recommendations. Each case includes patient demographics, comorbidities, TNM staging, histological subtype, prior therapies, and imaging findings. The ground truth for this study is the consensus therapy recommendation from the tumor board.</w:t>
      </w:r>
    </w:p>
    <w:p>
      <w:pPr>
        <w:pStyle w:val="Heading2"/>
      </w:pPr>
      <w:r>
        <w:t>Project Scope: Two Evaluation Pipelines</w:t>
      </w:r>
    </w:p>
    <w:p>
      <w:r>
        <w:t>This project comprises two complementary evaluation pipelines: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417"/>
            <w:shd w:fill="1E40AF"/>
          </w:tcPr>
          <w:p>
            <w:pPr>
              <w:jc w:val="center"/>
            </w:pPr>
            <w:r>
              <w:rPr>
                <w:rFonts w:ascii="Arial" w:hAnsi="Arial"/>
                <w:b/>
                <w:color w:val="FFFFFF"/>
                <w:sz w:val="18"/>
              </w:rPr>
              <w:t>Pipeline</w:t>
            </w:r>
          </w:p>
        </w:tc>
        <w:tc>
          <w:tcPr>
            <w:tcW w:type="dxa" w:w="2268"/>
            <w:shd w:fill="1E40AF"/>
          </w:tcPr>
          <w:p>
            <w:pPr>
              <w:jc w:val="center"/>
            </w:pPr>
            <w:r>
              <w:rPr>
                <w:rFonts w:ascii="Arial" w:hAnsi="Arial"/>
                <w:b/>
                <w:color w:val="FFFFFF"/>
                <w:sz w:val="18"/>
              </w:rPr>
              <w:t>Task</w:t>
            </w:r>
          </w:p>
        </w:tc>
        <w:tc>
          <w:tcPr>
            <w:tcW w:type="dxa" w:w="2268"/>
            <w:shd w:fill="1E40AF"/>
          </w:tcPr>
          <w:p>
            <w:pPr>
              <w:jc w:val="center"/>
            </w:pPr>
            <w:r>
              <w:rPr>
                <w:rFonts w:ascii="Arial" w:hAnsi="Arial"/>
                <w:b/>
                <w:color w:val="FFFFFF"/>
                <w:sz w:val="18"/>
              </w:rPr>
              <w:t>Models Tested</w:t>
            </w:r>
          </w:p>
        </w:tc>
        <w:tc>
          <w:tcPr>
            <w:tcW w:type="dxa" w:w="1701"/>
            <w:shd w:fill="1E40AF"/>
          </w:tcPr>
          <w:p>
            <w:pPr>
              <w:jc w:val="center"/>
            </w:pPr>
            <w:r>
              <w:rPr>
                <w:rFonts w:ascii="Arial" w:hAnsi="Arial"/>
                <w:b/>
                <w:color w:val="FFFFFF"/>
                <w:sz w:val="18"/>
              </w:rPr>
              <w:t>Best Result</w:t>
            </w:r>
          </w:p>
        </w:tc>
        <w:tc>
          <w:tcPr>
            <w:tcW w:type="dxa" w:w="1134"/>
            <w:shd w:fill="1E40AF"/>
          </w:tcPr>
          <w:p>
            <w:pPr>
              <w:jc w:val="center"/>
            </w:pPr>
            <w:r>
              <w:rPr>
                <w:rFonts w:ascii="Arial" w:hAnsi="Arial"/>
                <w:b/>
                <w:color w:val="FFFFFF"/>
                <w:sz w:val="18"/>
              </w:rPr>
              <w:t>Status</w:t>
            </w:r>
          </w:p>
        </w:tc>
      </w:tr>
      <w:tr>
        <w:tc>
          <w:tcPr>
            <w:tcW w:type="dxa" w:w="1417"/>
          </w:tcPr>
          <w:p>
            <w:pPr>
              <w:jc w:val="center"/>
            </w:pPr>
            <w:r>
              <w:rPr>
                <w:rFonts w:ascii="Arial" w:hAnsi="Arial"/>
                <w:sz w:val="18"/>
              </w:rPr>
              <w:t>1. Classification</w:t>
            </w:r>
          </w:p>
        </w:tc>
        <w:tc>
          <w:tcPr>
            <w:tcW w:type="dxa" w:w="2268"/>
          </w:tcPr>
          <w:p>
            <w:pPr>
              <w:jc w:val="center"/>
            </w:pPr>
            <w:r>
              <w:rPr>
                <w:rFonts w:ascii="Arial" w:hAnsi="Arial"/>
                <w:sz w:val="18"/>
              </w:rPr>
              <w:t>7-class cancer type detection</w:t>
              <w:br/>
              <w:t>(NCC, PCA, HODEN, UCA, PENIS, COMBI, NON_URO)</w:t>
            </w:r>
          </w:p>
        </w:tc>
        <w:tc>
          <w:tcPr>
            <w:tcW w:type="dxa" w:w="2268"/>
          </w:tcPr>
          <w:p>
            <w:pPr>
              <w:jc w:val="center"/>
            </w:pPr>
            <w:r>
              <w:rPr>
                <w:rFonts w:ascii="Arial" w:hAnsi="Arial"/>
                <w:sz w:val="18"/>
              </w:rPr>
              <w:t>14 models (MiMo v2, GPT-5.2, Claude Opus 4.5, Gemini 3, DeepSeek v3.2, etc.)</w:t>
            </w:r>
          </w:p>
        </w:tc>
        <w:tc>
          <w:tcPr>
            <w:tcW w:type="dxa" w:w="1701"/>
          </w:tcPr>
          <w:p>
            <w:pPr>
              <w:jc w:val="center"/>
            </w:pPr>
            <w:r>
              <w:rPr>
                <w:rFonts w:ascii="Arial" w:hAnsi="Arial"/>
                <w:sz w:val="18"/>
              </w:rPr>
              <w:t>100% accuracy (MiMo v2 Flash)</w:t>
            </w:r>
          </w:p>
        </w:tc>
        <w:tc>
          <w:tcPr>
            <w:tcW w:type="dxa" w:w="1134"/>
          </w:tcPr>
          <w:p>
            <w:pPr>
              <w:jc w:val="center"/>
            </w:pPr>
            <w:r>
              <w:rPr>
                <w:rFonts w:ascii="Arial" w:hAnsi="Arial"/>
                <w:sz w:val="18"/>
              </w:rPr>
              <w:t>Complete</w:t>
            </w:r>
          </w:p>
        </w:tc>
      </w:tr>
      <w:tr>
        <w:tc>
          <w:tcPr>
            <w:tcW w:type="dxa" w:w="1417"/>
            <w:shd w:fill="F0F4FF"/>
          </w:tcPr>
          <w:p>
            <w:pPr>
              <w:jc w:val="center"/>
            </w:pPr>
            <w:r>
              <w:rPr>
                <w:rFonts w:ascii="Arial" w:hAnsi="Arial"/>
                <w:sz w:val="18"/>
              </w:rPr>
              <w:t>2. Treatment Prediction</w:t>
            </w:r>
          </w:p>
        </w:tc>
        <w:tc>
          <w:tcPr>
            <w:tcW w:type="dxa" w:w="2268"/>
            <w:shd w:fill="F0F4FF"/>
          </w:tcPr>
          <w:p>
            <w:pPr>
              <w:jc w:val="center"/>
            </w:pPr>
            <w:r>
              <w:rPr>
                <w:rFonts w:ascii="Arial" w:hAnsi="Arial"/>
                <w:sz w:val="18"/>
              </w:rPr>
              <w:t>RCC therapy recommendation</w:t>
              <w:br/>
              <w:t>following German oncology guidelines</w:t>
            </w:r>
          </w:p>
        </w:tc>
        <w:tc>
          <w:tcPr>
            <w:tcW w:type="dxa" w:w="2268"/>
            <w:shd w:fill="F0F4FF"/>
          </w:tcPr>
          <w:p>
            <w:pPr>
              <w:jc w:val="center"/>
            </w:pPr>
            <w:r>
              <w:rPr>
                <w:rFonts w:ascii="Arial" w:hAnsi="Arial"/>
                <w:sz w:val="18"/>
              </w:rPr>
              <w:t>6 models (Gemma 3 27B/4B, MedGemma, Meditron3, OLMo 32B Instruct/Think)</w:t>
            </w:r>
          </w:p>
        </w:tc>
        <w:tc>
          <w:tcPr>
            <w:tcW w:type="dxa" w:w="1701"/>
            <w:shd w:fill="F0F4FF"/>
          </w:tcPr>
          <w:p>
            <w:pPr>
              <w:jc w:val="center"/>
            </w:pPr>
            <w:r>
              <w:rPr>
                <w:rFonts w:ascii="Arial" w:hAnsi="Arial"/>
                <w:sz w:val="18"/>
              </w:rPr>
              <w:t>See detailed results below</w:t>
            </w:r>
          </w:p>
        </w:tc>
        <w:tc>
          <w:tcPr>
            <w:tcW w:type="dxa" w:w="1134"/>
            <w:shd w:fill="F0F4FF"/>
          </w:tcPr>
          <w:p>
            <w:pPr>
              <w:jc w:val="center"/>
            </w:pPr>
            <w:r>
              <w:rPr>
                <w:rFonts w:ascii="Arial" w:hAnsi="Arial"/>
                <w:sz w:val="18"/>
              </w:rPr>
              <w:t>Complete + Validated</w:t>
            </w:r>
          </w:p>
        </w:tc>
      </w:tr>
    </w:tbl>
    <w:p>
      <w:r>
        <w:t>Pipeline 1 established that modern LLMs can reliably classify German oncology cases by cancer type. This report focuses exclusively on Pipeline 2 (treatment prediction), which is the clinically more challenging task requiring guideline-aware therapeutic reasoning.</w:t>
      </w:r>
    </w:p>
    <w:p>
      <w:pPr>
        <w:pStyle w:val="Heading2"/>
      </w:pPr>
      <w:r>
        <w:t>Evaluation Pipeline (Treatment Prediction)</w:t>
      </w:r>
    </w:p>
    <w:p>
      <w:r>
        <w:t>The treatment prediction study uses a three-tier evaluation pipeline:</w:t>
      </w:r>
    </w:p>
    <w:p>
      <w:pPr>
        <w:pStyle w:val="ListBullet"/>
      </w:pPr>
      <w:r>
        <w:rPr>
          <w:rFonts w:ascii="Arial" w:hAnsi="Arial"/>
          <w:sz w:val="20"/>
        </w:rPr>
        <w:t>Tier 1 — LLM Prediction: Each model receives the full clinical case and generates a therapy recommendation with reasoning.</w:t>
      </w:r>
    </w:p>
    <w:p>
      <w:pPr>
        <w:pStyle w:val="ListBullet"/>
      </w:pPr>
      <w:r>
        <w:rPr>
          <w:rFonts w:ascii="Arial" w:hAnsi="Arial"/>
          <w:sz w:val="20"/>
        </w:rPr>
        <w:t>Tier 2 — AI Judge Evaluation: Two AI judges (GPT-5.2 and MedGemma 27B) independently score each prediction on semantic match, clinical appropriateness, reasoning quality, and overall correctness.</w:t>
      </w:r>
    </w:p>
    <w:p>
      <w:pPr>
        <w:pStyle w:val="ListBullet"/>
      </w:pPr>
      <w:r>
        <w:rPr>
          <w:rFonts w:ascii="Arial" w:hAnsi="Arial"/>
          <w:sz w:val="20"/>
        </w:rPr>
        <w:t>Tier 3 — Uro-Oncologist Validation: A board-certified uro-oncologist reviews model predictions (therapy acceptable? quality rating) and judge evaluations (agree/partial/disagree with judge verdict).</w:t>
      </w:r>
    </w:p>
    <w:p>
      <w:pPr>
        <w:pStyle w:val="Heading2"/>
      </w:pPr>
      <w:r>
        <w:t>Models Evaluated</w:t>
      </w:r>
    </w:p>
    <w:tbl>
      <w:tblPr>
        <w:tblW w:type="auto" w:w="0"/>
        <w:jc w:val="center"/>
        <w:tblLook w:firstColumn="1" w:firstRow="1" w:lastColumn="0" w:lastRow="0" w:noHBand="0" w:noVBand="1" w:val="04A0"/>
      </w:tblPr>
      <w:tblGrid>
        <w:gridCol w:w="2160"/>
        <w:gridCol w:w="2160"/>
        <w:gridCol w:w="2160"/>
        <w:gridCol w:w="2160"/>
      </w:tblGrid>
      <w:tr>
        <w:tc>
          <w:tcPr>
            <w:tcW w:type="dxa" w:w="1984"/>
            <w:shd w:fill="1E40AF"/>
          </w:tcPr>
          <w:p>
            <w:pPr>
              <w:jc w:val="center"/>
            </w:pPr>
            <w:r>
              <w:rPr>
                <w:rFonts w:ascii="Arial" w:hAnsi="Arial"/>
                <w:b/>
                <w:color w:val="FFFFFF"/>
                <w:sz w:val="18"/>
              </w:rPr>
              <w:t>Model</w:t>
            </w:r>
          </w:p>
        </w:tc>
        <w:tc>
          <w:tcPr>
            <w:tcW w:type="dxa" w:w="1134"/>
            <w:shd w:fill="1E40AF"/>
          </w:tcPr>
          <w:p>
            <w:pPr>
              <w:jc w:val="center"/>
            </w:pPr>
            <w:r>
              <w:rPr>
                <w:rFonts w:ascii="Arial" w:hAnsi="Arial"/>
                <w:b/>
                <w:color w:val="FFFFFF"/>
                <w:sz w:val="18"/>
              </w:rPr>
              <w:t>Size</w:t>
            </w:r>
          </w:p>
        </w:tc>
        <w:tc>
          <w:tcPr>
            <w:tcW w:type="dxa" w:w="1134"/>
            <w:shd w:fill="1E40AF"/>
          </w:tcPr>
          <w:p>
            <w:pPr>
              <w:jc w:val="center"/>
            </w:pPr>
            <w:r>
              <w:rPr>
                <w:rFonts w:ascii="Arial" w:hAnsi="Arial"/>
                <w:b/>
                <w:color w:val="FFFFFF"/>
                <w:sz w:val="18"/>
              </w:rPr>
              <w:t>Type</w:t>
            </w:r>
          </w:p>
        </w:tc>
        <w:tc>
          <w:tcPr>
            <w:tcW w:type="dxa" w:w="4535"/>
            <w:shd w:fill="1E40AF"/>
          </w:tcPr>
          <w:p>
            <w:pPr>
              <w:jc w:val="center"/>
            </w:pPr>
            <w:r>
              <w:rPr>
                <w:rFonts w:ascii="Arial" w:hAnsi="Arial"/>
                <w:b/>
                <w:color w:val="FFFFFF"/>
                <w:sz w:val="18"/>
              </w:rPr>
              <w:t>Description</w:t>
            </w:r>
          </w:p>
        </w:tc>
      </w:tr>
      <w:tr>
        <w:tc>
          <w:tcPr>
            <w:tcW w:type="dxa" w:w="1984"/>
          </w:tcPr>
          <w:p>
            <w:pPr>
              <w:jc w:val="center"/>
            </w:pPr>
            <w:r>
              <w:rPr>
                <w:rFonts w:ascii="Arial" w:hAnsi="Arial"/>
                <w:sz w:val="18"/>
              </w:rPr>
              <w:t>Meditron3 7B</w:t>
            </w:r>
          </w:p>
        </w:tc>
        <w:tc>
          <w:tcPr>
            <w:tcW w:type="dxa" w:w="1134"/>
          </w:tcPr>
          <w:p>
            <w:pPr>
              <w:jc w:val="center"/>
            </w:pPr>
            <w:r>
              <w:rPr>
                <w:rFonts w:ascii="Arial" w:hAnsi="Arial"/>
                <w:sz w:val="18"/>
              </w:rPr>
              <w:t>7B</w:t>
            </w:r>
          </w:p>
        </w:tc>
        <w:tc>
          <w:tcPr>
            <w:tcW w:type="dxa" w:w="1134"/>
          </w:tcPr>
          <w:p>
            <w:pPr>
              <w:jc w:val="center"/>
            </w:pPr>
            <w:r>
              <w:rPr>
                <w:rFonts w:ascii="Arial" w:hAnsi="Arial"/>
                <w:sz w:val="18"/>
              </w:rPr>
              <w:t>Medical</w:t>
            </w:r>
          </w:p>
        </w:tc>
        <w:tc>
          <w:tcPr>
            <w:tcW w:type="dxa" w:w="4535"/>
          </w:tcPr>
          <w:p>
            <w:pPr>
              <w:jc w:val="center"/>
            </w:pPr>
            <w:r>
              <w:rPr>
                <w:rFonts w:ascii="Arial" w:hAnsi="Arial"/>
                <w:sz w:val="18"/>
              </w:rPr>
              <w:t>Medical-specialized 7B model based on Qwen2.5</w:t>
            </w:r>
          </w:p>
        </w:tc>
      </w:tr>
      <w:tr>
        <w:tc>
          <w:tcPr>
            <w:tcW w:type="dxa" w:w="1984"/>
            <w:shd w:fill="F0F4FF"/>
          </w:tcPr>
          <w:p>
            <w:pPr>
              <w:jc w:val="center"/>
            </w:pPr>
            <w:r>
              <w:rPr>
                <w:rFonts w:ascii="Arial" w:hAnsi="Arial"/>
                <w:sz w:val="18"/>
              </w:rPr>
              <w:t>OLMo 32B Instruct</w:t>
            </w:r>
          </w:p>
        </w:tc>
        <w:tc>
          <w:tcPr>
            <w:tcW w:type="dxa" w:w="1134"/>
            <w:shd w:fill="F0F4FF"/>
          </w:tcPr>
          <w:p>
            <w:pPr>
              <w:jc w:val="center"/>
            </w:pPr>
            <w:r>
              <w:rPr>
                <w:rFonts w:ascii="Arial" w:hAnsi="Arial"/>
                <w:sz w:val="18"/>
              </w:rPr>
              <w:t>INSTRUCT</w:t>
            </w:r>
          </w:p>
        </w:tc>
        <w:tc>
          <w:tcPr>
            <w:tcW w:type="dxa" w:w="1134"/>
            <w:shd w:fill="F0F4FF"/>
          </w:tcPr>
          <w:p>
            <w:pPr>
              <w:jc w:val="center"/>
            </w:pPr>
            <w:r>
              <w:rPr>
                <w:rFonts w:ascii="Arial" w:hAnsi="Arial"/>
                <w:sz w:val="18"/>
              </w:rPr>
              <w:t>General</w:t>
            </w:r>
          </w:p>
        </w:tc>
        <w:tc>
          <w:tcPr>
            <w:tcW w:type="dxa" w:w="4535"/>
            <w:shd w:fill="F0F4FF"/>
          </w:tcPr>
          <w:p>
            <w:pPr>
              <w:jc w:val="center"/>
            </w:pPr>
            <w:r>
              <w:rPr>
                <w:rFonts w:ascii="Arial" w:hAnsi="Arial"/>
                <w:sz w:val="18"/>
              </w:rPr>
              <w:t>Allen AI's open 32B instruction-tuned model</w:t>
            </w:r>
          </w:p>
        </w:tc>
      </w:tr>
      <w:tr>
        <w:tc>
          <w:tcPr>
            <w:tcW w:type="dxa" w:w="1984"/>
          </w:tcPr>
          <w:p>
            <w:pPr>
              <w:jc w:val="center"/>
            </w:pPr>
            <w:r>
              <w:rPr>
                <w:rFonts w:ascii="Arial" w:hAnsi="Arial"/>
                <w:sz w:val="18"/>
              </w:rPr>
              <w:t>OLMo 32B Think</w:t>
            </w:r>
          </w:p>
        </w:tc>
        <w:tc>
          <w:tcPr>
            <w:tcW w:type="dxa" w:w="1134"/>
          </w:tcPr>
          <w:p>
            <w:pPr>
              <w:jc w:val="center"/>
            </w:pPr>
            <w:r>
              <w:rPr>
                <w:rFonts w:ascii="Arial" w:hAnsi="Arial"/>
                <w:sz w:val="18"/>
              </w:rPr>
              <w:t>THINK</w:t>
            </w:r>
          </w:p>
        </w:tc>
        <w:tc>
          <w:tcPr>
            <w:tcW w:type="dxa" w:w="1134"/>
          </w:tcPr>
          <w:p>
            <w:pPr>
              <w:jc w:val="center"/>
            </w:pPr>
            <w:r>
              <w:rPr>
                <w:rFonts w:ascii="Arial" w:hAnsi="Arial"/>
                <w:sz w:val="18"/>
              </w:rPr>
              <w:t>General</w:t>
            </w:r>
          </w:p>
        </w:tc>
        <w:tc>
          <w:tcPr>
            <w:tcW w:type="dxa" w:w="4535"/>
          </w:tcPr>
          <w:p>
            <w:pPr>
              <w:jc w:val="center"/>
            </w:pPr>
            <w:r>
              <w:rPr>
                <w:rFonts w:ascii="Arial" w:hAnsi="Arial"/>
                <w:sz w:val="18"/>
              </w:rPr>
              <w:t>Allen AI's 32B chain-of-thought reasoning model</w:t>
            </w:r>
          </w:p>
        </w:tc>
      </w:tr>
      <w:tr>
        <w:tc>
          <w:tcPr>
            <w:tcW w:type="dxa" w:w="1984"/>
            <w:shd w:fill="F0F4FF"/>
          </w:tcPr>
          <w:p>
            <w:pPr>
              <w:jc w:val="center"/>
            </w:pPr>
            <w:r>
              <w:rPr>
                <w:rFonts w:ascii="Arial" w:hAnsi="Arial"/>
                <w:sz w:val="18"/>
              </w:rPr>
              <w:t>Gemma 3 27B</w:t>
            </w:r>
          </w:p>
        </w:tc>
        <w:tc>
          <w:tcPr>
            <w:tcW w:type="dxa" w:w="1134"/>
            <w:shd w:fill="F0F4FF"/>
          </w:tcPr>
          <w:p>
            <w:pPr>
              <w:jc w:val="center"/>
            </w:pPr>
            <w:r>
              <w:rPr>
                <w:rFonts w:ascii="Arial" w:hAnsi="Arial"/>
                <w:sz w:val="18"/>
              </w:rPr>
            </w:r>
          </w:p>
        </w:tc>
        <w:tc>
          <w:tcPr>
            <w:tcW w:type="dxa" w:w="1134"/>
            <w:shd w:fill="F0F4FF"/>
          </w:tcPr>
          <w:p>
            <w:pPr>
              <w:jc w:val="center"/>
            </w:pPr>
            <w:r>
              <w:rPr>
                <w:rFonts w:ascii="Arial" w:hAnsi="Arial"/>
                <w:sz w:val="18"/>
              </w:rPr>
              <w:t>General</w:t>
            </w:r>
          </w:p>
        </w:tc>
        <w:tc>
          <w:tcPr>
            <w:tcW w:type="dxa" w:w="4535"/>
            <w:shd w:fill="F0F4FF"/>
          </w:tcPr>
          <w:p>
            <w:pPr>
              <w:jc w:val="center"/>
            </w:pPr>
            <w:r>
              <w:rPr>
                <w:rFonts w:ascii="Arial" w:hAnsi="Arial"/>
                <w:sz w:val="18"/>
              </w:rPr>
              <w:t>Google's general-purpose 27B instruction-tuned model</w:t>
            </w:r>
          </w:p>
        </w:tc>
      </w:tr>
      <w:tr>
        <w:tc>
          <w:tcPr>
            <w:tcW w:type="dxa" w:w="1984"/>
          </w:tcPr>
          <w:p>
            <w:pPr>
              <w:jc w:val="center"/>
            </w:pPr>
            <w:r>
              <w:rPr>
                <w:rFonts w:ascii="Arial" w:hAnsi="Arial"/>
                <w:sz w:val="18"/>
              </w:rPr>
              <w:t>Gemma 3 4B</w:t>
            </w:r>
          </w:p>
        </w:tc>
        <w:tc>
          <w:tcPr>
            <w:tcW w:type="dxa" w:w="1134"/>
          </w:tcPr>
          <w:p>
            <w:pPr>
              <w:jc w:val="center"/>
            </w:pPr>
            <w:r>
              <w:rPr>
                <w:rFonts w:ascii="Arial" w:hAnsi="Arial"/>
                <w:sz w:val="18"/>
              </w:rPr>
            </w:r>
          </w:p>
        </w:tc>
        <w:tc>
          <w:tcPr>
            <w:tcW w:type="dxa" w:w="1134"/>
          </w:tcPr>
          <w:p>
            <w:pPr>
              <w:jc w:val="center"/>
            </w:pPr>
            <w:r>
              <w:rPr>
                <w:rFonts w:ascii="Arial" w:hAnsi="Arial"/>
                <w:sz w:val="18"/>
              </w:rPr>
              <w:t>General</w:t>
            </w:r>
          </w:p>
        </w:tc>
        <w:tc>
          <w:tcPr>
            <w:tcW w:type="dxa" w:w="4535"/>
          </w:tcPr>
          <w:p>
            <w:pPr>
              <w:jc w:val="center"/>
            </w:pPr>
            <w:r>
              <w:rPr>
                <w:rFonts w:ascii="Arial" w:hAnsi="Arial"/>
                <w:sz w:val="18"/>
              </w:rPr>
              <w:t>Google's compact 4B instruction-tuned model</w:t>
            </w:r>
          </w:p>
        </w:tc>
      </w:tr>
      <w:tr>
        <w:tc>
          <w:tcPr>
            <w:tcW w:type="dxa" w:w="1984"/>
            <w:shd w:fill="F0F4FF"/>
          </w:tcPr>
          <w:p>
            <w:pPr>
              <w:jc w:val="center"/>
            </w:pPr>
            <w:r>
              <w:rPr>
                <w:rFonts w:ascii="Arial" w:hAnsi="Arial"/>
                <w:sz w:val="18"/>
              </w:rPr>
              <w:t>MedGemma 27B</w:t>
            </w:r>
          </w:p>
        </w:tc>
        <w:tc>
          <w:tcPr>
            <w:tcW w:type="dxa" w:w="1134"/>
            <w:shd w:fill="F0F4FF"/>
          </w:tcPr>
          <w:p>
            <w:pPr>
              <w:jc w:val="center"/>
            </w:pPr>
            <w:r>
              <w:rPr>
                <w:rFonts w:ascii="Arial" w:hAnsi="Arial"/>
                <w:sz w:val="18"/>
              </w:rPr>
            </w:r>
          </w:p>
        </w:tc>
        <w:tc>
          <w:tcPr>
            <w:tcW w:type="dxa" w:w="1134"/>
            <w:shd w:fill="F0F4FF"/>
          </w:tcPr>
          <w:p>
            <w:pPr>
              <w:jc w:val="center"/>
            </w:pPr>
            <w:r>
              <w:rPr>
                <w:rFonts w:ascii="Arial" w:hAnsi="Arial"/>
                <w:sz w:val="18"/>
              </w:rPr>
              <w:t>Medical</w:t>
            </w:r>
          </w:p>
        </w:tc>
        <w:tc>
          <w:tcPr>
            <w:tcW w:type="dxa" w:w="4535"/>
            <w:shd w:fill="F0F4FF"/>
          </w:tcPr>
          <w:p>
            <w:pPr>
              <w:jc w:val="center"/>
            </w:pPr>
            <w:r>
              <w:rPr>
                <w:rFonts w:ascii="Arial" w:hAnsi="Arial"/>
                <w:sz w:val="18"/>
              </w:rPr>
              <w:t>Google's medical-specialized 27B model (also used as AI judge)</w:t>
            </w:r>
          </w:p>
        </w:tc>
      </w:tr>
    </w:tbl>
    <w:p>
      <w:pPr>
        <w:pStyle w:val="Heading1"/>
      </w:pPr>
      <w:r>
        <w:t>3. Technical Innovation &amp; Impact</w:t>
      </w:r>
    </w:p>
    <w:p>
      <w:r>
        <w:t>This project introduces a comprehensive, reproducible evaluation methodology for clinical AI that addresses key challenges in deploying LLMs for medical decision support.</w:t>
      </w:r>
    </w:p>
    <w:p>
      <w:pPr>
        <w:pStyle w:val="Heading2"/>
      </w:pPr>
      <w:r>
        <w:t>Three-Tier Evaluation Pipeline</w:t>
      </w:r>
    </w:p>
    <w:p>
      <w:r>
        <w:t>Unlike single-layer evaluations (model vs. ground truth), this project implements a three-tier pipeline that separates automated scoring from expert validation:</w:t>
      </w:r>
    </w:p>
    <w:p>
      <w:pPr>
        <w:pStyle w:val="ListBullet"/>
      </w:pPr>
      <w:r>
        <w:rPr>
          <w:rFonts w:ascii="Arial" w:hAnsi="Arial"/>
          <w:sz w:val="20"/>
        </w:rPr>
        <w:t>Tier 1 — LLM Prediction: Six models with diverse architectures (2B–32B parameters, general-purpose and medical-specialized) generate therapy recommendations from structured German clinical case data.</w:t>
      </w:r>
    </w:p>
    <w:p>
      <w:pPr>
        <w:pStyle w:val="ListBullet"/>
      </w:pPr>
      <w:r>
        <w:rPr>
          <w:rFonts w:ascii="Arial" w:hAnsi="Arial"/>
          <w:sz w:val="20"/>
        </w:rPr>
        <w:t>Tier 2 — AI Judge Evaluation: Two independent AI judges (GPT-5.2 and MedGemma 27B) score each prediction across four dimensions: semantic match, clinical appropriateness, reasoning quality, and overall correctness.</w:t>
      </w:r>
    </w:p>
    <w:p>
      <w:pPr>
        <w:pStyle w:val="ListBullet"/>
      </w:pPr>
      <w:r>
        <w:rPr>
          <w:rFonts w:ascii="Arial" w:hAnsi="Arial"/>
          <w:sz w:val="20"/>
        </w:rPr>
        <w:t>Tier 3 — Uro-Oncologist Validation: A board-certified uro-oncologist reviews both model predictions and judge evaluations, creating a ground truth for evaluating the evaluators themselves.</w:t>
      </w:r>
    </w:p>
    <w:p>
      <w:pPr>
        <w:pStyle w:val="Heading2"/>
      </w:pPr>
      <w:r>
        <w:t>Clinical Data Format</w:t>
      </w:r>
    </w:p>
    <w:p>
      <w:r>
        <w:t>All 69 clinical cases are stored in structured JSON format. The inference pipeline automatically detects and normalizes schema variations across cases, extracting ECOG, TNM staging, histology, and therapy fields.</w:t>
      </w:r>
    </w:p>
    <w:p>
      <w:pPr>
        <w:pStyle w:val="Heading2"/>
      </w:pPr>
      <w:r>
        <w:t>Medical Review Web Platform</w:t>
      </w:r>
    </w:p>
    <w:p>
      <w:r>
        <w:t>A web application enables structured physician review of AI predictions and judge evaluations. The platform supports structured review workflows, Likert-scale and binary ratings, and exports data for statistical analysis.</w:t>
      </w:r>
    </w:p>
    <w:p>
      <w:r>
        <w:br w:type="page"/>
      </w:r>
    </w:p>
    <w:p>
      <w:pPr>
        <w:pStyle w:val="Heading1"/>
      </w:pPr>
      <w:r>
        <w:t>4. Methodology</w:t>
      </w:r>
    </w:p>
    <w:p>
      <w:pPr>
        <w:pStyle w:val="Heading2"/>
      </w:pPr>
      <w:r>
        <w:t>Treatment Prediction Prompt</w:t>
      </w:r>
    </w:p>
    <w:p>
      <w:r>
        <w:t>Each model receives a structured German-language prompt with the role "Du bist ein erfahrener Onkologe, spezialisiert auf Nierenzellkarzinom" (You are an experienced oncologist specialized in RCC). The prompt contains:</w:t>
      </w:r>
    </w:p>
    <w:p>
      <w:pPr>
        <w:pStyle w:val="ListBullet"/>
      </w:pPr>
      <w:r>
        <w:rPr>
          <w:rFonts w:ascii="Arial" w:hAnsi="Arial"/>
          <w:sz w:val="20"/>
        </w:rPr>
        <w:t>Patient demographics: name, age, ECOG, Karnofsky, comorbidity, life expectancy</w:t>
      </w:r>
    </w:p>
    <w:p>
      <w:pPr>
        <w:pStyle w:val="ListBullet"/>
      </w:pPr>
      <w:r>
        <w:rPr>
          <w:rFonts w:ascii="Arial" w:hAnsi="Arial"/>
          <w:sz w:val="20"/>
        </w:rPr>
        <w:t>Clinical data: diagnosis, TNM staging (clinical + pathological), histology subtype, grading</w:t>
      </w:r>
    </w:p>
    <w:p>
      <w:pPr>
        <w:pStyle w:val="ListBullet"/>
      </w:pPr>
      <w:r>
        <w:rPr>
          <w:rFonts w:ascii="Arial" w:hAnsi="Arial"/>
          <w:sz w:val="20"/>
        </w:rPr>
        <w:t>Medical history: anamnesis free text, secondary diagnoses, current medication, imaging findings, IMDC risk factors, ICI eligibility, prior systemic therapies</w:t>
      </w:r>
    </w:p>
    <w:p>
      <w:pPr>
        <w:pStyle w:val="ListBullet"/>
      </w:pPr>
      <w:r>
        <w:rPr>
          <w:rFonts w:ascii="Arial" w:hAnsi="Arial"/>
          <w:sz w:val="20"/>
        </w:rPr>
        <w:t>Embedded therapy guidelines: Complete IMDC-stratified treatment algorithm for metastatic clear-cell RCC (first-line ICI-eligible and non-eligible, second-line) and non-metastatic RCC (surveillance, ablation, partial/radical nephrectomy) with Grades of Recommendation (GoR A/B/0)</w:t>
      </w:r>
    </w:p>
    <w:p>
      <w:pPr>
        <w:pStyle w:val="ListBullet"/>
      </w:pPr>
      <w:r>
        <w:rPr>
          <w:rFonts w:ascii="Arial" w:hAnsi="Arial"/>
          <w:sz w:val="20"/>
        </w:rPr>
        <w:t>Structured output: JSON with is_metastatic, IMDC risk, therapy recommendation, category, reasoning, and confidence score</w:t>
      </w:r>
    </w:p>
    <w:p>
      <w:pPr>
        <w:pStyle w:val="Heading2"/>
      </w:pPr>
      <w:r>
        <w:t>Inference Hyperparameters</w:t>
      </w:r>
    </w:p>
    <w:tbl>
      <w:tblPr>
        <w:tblW w:type="auto" w:w="0"/>
        <w:jc w:val="center"/>
        <w:tblLook w:firstColumn="1" w:firstRow="1" w:lastColumn="0" w:lastRow="0" w:noHBand="0" w:noVBand="1" w:val="04A0"/>
      </w:tblPr>
      <w:tblGrid>
        <w:gridCol w:w="2160"/>
        <w:gridCol w:w="2160"/>
        <w:gridCol w:w="2160"/>
        <w:gridCol w:w="2160"/>
      </w:tblGrid>
      <w:tr>
        <w:tc>
          <w:tcPr>
            <w:tcW w:type="dxa" w:w="1701"/>
            <w:shd w:fill="1E40AF"/>
          </w:tcPr>
          <w:p>
            <w:pPr>
              <w:jc w:val="center"/>
            </w:pPr>
            <w:r>
              <w:rPr>
                <w:rFonts w:ascii="Arial" w:hAnsi="Arial"/>
                <w:b/>
                <w:color w:val="FFFFFF"/>
                <w:sz w:val="18"/>
              </w:rPr>
              <w:t>Parameter</w:t>
            </w:r>
          </w:p>
        </w:tc>
        <w:tc>
          <w:tcPr>
            <w:tcW w:type="dxa" w:w="1701"/>
            <w:shd w:fill="1E40AF"/>
          </w:tcPr>
          <w:p>
            <w:pPr>
              <w:jc w:val="center"/>
            </w:pPr>
            <w:r>
              <w:rPr>
                <w:rFonts w:ascii="Arial" w:hAnsi="Arial"/>
                <w:b/>
                <w:color w:val="FFFFFF"/>
                <w:sz w:val="18"/>
              </w:rPr>
              <w:t>Standard Models</w:t>
            </w:r>
          </w:p>
        </w:tc>
        <w:tc>
          <w:tcPr>
            <w:tcW w:type="dxa" w:w="1701"/>
            <w:shd w:fill="1E40AF"/>
          </w:tcPr>
          <w:p>
            <w:pPr>
              <w:jc w:val="center"/>
            </w:pPr>
            <w:r>
              <w:rPr>
                <w:rFonts w:ascii="Arial" w:hAnsi="Arial"/>
                <w:b/>
                <w:color w:val="FFFFFF"/>
                <w:sz w:val="18"/>
              </w:rPr>
              <w:t>Thinking Models</w:t>
            </w:r>
          </w:p>
        </w:tc>
        <w:tc>
          <w:tcPr>
            <w:tcW w:type="dxa" w:w="3402"/>
            <w:shd w:fill="1E40AF"/>
          </w:tcPr>
          <w:p>
            <w:pPr>
              <w:jc w:val="center"/>
            </w:pPr>
            <w:r>
              <w:rPr>
                <w:rFonts w:ascii="Arial" w:hAnsi="Arial"/>
                <w:b/>
                <w:color w:val="FFFFFF"/>
                <w:sz w:val="18"/>
              </w:rPr>
              <w:t>Rationale</w:t>
            </w:r>
          </w:p>
        </w:tc>
      </w:tr>
      <w:tr>
        <w:tc>
          <w:tcPr>
            <w:tcW w:type="dxa" w:w="1701"/>
          </w:tcPr>
          <w:p>
            <w:pPr>
              <w:jc w:val="center"/>
            </w:pPr>
            <w:r>
              <w:rPr>
                <w:rFonts w:ascii="Arial" w:hAnsi="Arial"/>
                <w:sz w:val="18"/>
              </w:rPr>
              <w:t>Temperature</w:t>
            </w:r>
          </w:p>
        </w:tc>
        <w:tc>
          <w:tcPr>
            <w:tcW w:type="dxa" w:w="1701"/>
          </w:tcPr>
          <w:p>
            <w:pPr>
              <w:jc w:val="center"/>
            </w:pPr>
            <w:r>
              <w:rPr>
                <w:rFonts w:ascii="Arial" w:hAnsi="Arial"/>
                <w:sz w:val="18"/>
              </w:rPr>
              <w:t>0.3</w:t>
            </w:r>
          </w:p>
        </w:tc>
        <w:tc>
          <w:tcPr>
            <w:tcW w:type="dxa" w:w="1701"/>
          </w:tcPr>
          <w:p>
            <w:pPr>
              <w:jc w:val="center"/>
            </w:pPr>
            <w:r>
              <w:rPr>
                <w:rFonts w:ascii="Arial" w:hAnsi="Arial"/>
                <w:sz w:val="18"/>
              </w:rPr>
              <w:t>0.6</w:t>
            </w:r>
          </w:p>
        </w:tc>
        <w:tc>
          <w:tcPr>
            <w:tcW w:type="dxa" w:w="3402"/>
          </w:tcPr>
          <w:p>
            <w:pPr>
              <w:jc w:val="center"/>
            </w:pPr>
            <w:r>
              <w:rPr>
                <w:rFonts w:ascii="Arial" w:hAnsi="Arial"/>
                <w:sz w:val="18"/>
              </w:rPr>
              <w:t>Low for deterministic medical output; higher for thinking chains</w:t>
            </w:r>
          </w:p>
        </w:tc>
      </w:tr>
      <w:tr>
        <w:tc>
          <w:tcPr>
            <w:tcW w:type="dxa" w:w="1701"/>
            <w:shd w:fill="F0F4FF"/>
          </w:tcPr>
          <w:p>
            <w:pPr>
              <w:jc w:val="center"/>
            </w:pPr>
            <w:r>
              <w:rPr>
                <w:rFonts w:ascii="Arial" w:hAnsi="Arial"/>
                <w:sz w:val="18"/>
              </w:rPr>
              <w:t>Top-p</w:t>
            </w:r>
          </w:p>
        </w:tc>
        <w:tc>
          <w:tcPr>
            <w:tcW w:type="dxa" w:w="1701"/>
            <w:shd w:fill="F0F4FF"/>
          </w:tcPr>
          <w:p>
            <w:pPr>
              <w:jc w:val="center"/>
            </w:pPr>
            <w:r>
              <w:rPr>
                <w:rFonts w:ascii="Arial" w:hAnsi="Arial"/>
                <w:sz w:val="18"/>
              </w:rPr>
              <w:t>0.95</w:t>
            </w:r>
          </w:p>
        </w:tc>
        <w:tc>
          <w:tcPr>
            <w:tcW w:type="dxa" w:w="1701"/>
            <w:shd w:fill="F0F4FF"/>
          </w:tcPr>
          <w:p>
            <w:pPr>
              <w:jc w:val="center"/>
            </w:pPr>
            <w:r>
              <w:rPr>
                <w:rFonts w:ascii="Arial" w:hAnsi="Arial"/>
                <w:sz w:val="18"/>
              </w:rPr>
              <w:t>0.95</w:t>
            </w:r>
          </w:p>
        </w:tc>
        <w:tc>
          <w:tcPr>
            <w:tcW w:type="dxa" w:w="3402"/>
            <w:shd w:fill="F0F4FF"/>
          </w:tcPr>
          <w:p>
            <w:pPr>
              <w:jc w:val="center"/>
            </w:pPr>
            <w:r>
              <w:rPr>
                <w:rFonts w:ascii="Arial" w:hAnsi="Arial"/>
                <w:sz w:val="18"/>
              </w:rPr>
              <w:t>Nucleus sampling for balanced diversity</w:t>
            </w:r>
          </w:p>
        </w:tc>
      </w:tr>
      <w:tr>
        <w:tc>
          <w:tcPr>
            <w:tcW w:type="dxa" w:w="1701"/>
          </w:tcPr>
          <w:p>
            <w:pPr>
              <w:jc w:val="center"/>
            </w:pPr>
            <w:r>
              <w:rPr>
                <w:rFonts w:ascii="Arial" w:hAnsi="Arial"/>
                <w:sz w:val="18"/>
              </w:rPr>
              <w:t>Max tokens</w:t>
            </w:r>
          </w:p>
        </w:tc>
        <w:tc>
          <w:tcPr>
            <w:tcW w:type="dxa" w:w="1701"/>
          </w:tcPr>
          <w:p>
            <w:pPr>
              <w:jc w:val="center"/>
            </w:pPr>
            <w:r>
              <w:rPr>
                <w:rFonts w:ascii="Arial" w:hAnsi="Arial"/>
                <w:sz w:val="18"/>
              </w:rPr>
              <w:t>32,768</w:t>
            </w:r>
          </w:p>
        </w:tc>
        <w:tc>
          <w:tcPr>
            <w:tcW w:type="dxa" w:w="1701"/>
          </w:tcPr>
          <w:p>
            <w:pPr>
              <w:jc w:val="center"/>
            </w:pPr>
            <w:r>
              <w:rPr>
                <w:rFonts w:ascii="Arial" w:hAnsi="Arial"/>
                <w:sz w:val="18"/>
              </w:rPr>
              <w:t>65,536</w:t>
            </w:r>
          </w:p>
        </w:tc>
        <w:tc>
          <w:tcPr>
            <w:tcW w:type="dxa" w:w="3402"/>
          </w:tcPr>
          <w:p>
            <w:pPr>
              <w:jc w:val="center"/>
            </w:pPr>
            <w:r>
              <w:rPr>
                <w:rFonts w:ascii="Arial" w:hAnsi="Arial"/>
                <w:sz w:val="18"/>
              </w:rPr>
              <w:t>Headroom for reasoning; thinking models consume tokens before JSON</w:t>
            </w:r>
          </w:p>
        </w:tc>
      </w:tr>
      <w:tr>
        <w:tc>
          <w:tcPr>
            <w:tcW w:type="dxa" w:w="1701"/>
            <w:shd w:fill="F0F4FF"/>
          </w:tcPr>
          <w:p>
            <w:pPr>
              <w:jc w:val="center"/>
            </w:pPr>
            <w:r>
              <w:rPr>
                <w:rFonts w:ascii="Arial" w:hAnsi="Arial"/>
                <w:sz w:val="18"/>
              </w:rPr>
              <w:t>Seed</w:t>
            </w:r>
          </w:p>
        </w:tc>
        <w:tc>
          <w:tcPr>
            <w:tcW w:type="dxa" w:w="1701"/>
            <w:shd w:fill="F0F4FF"/>
          </w:tcPr>
          <w:p>
            <w:pPr>
              <w:jc w:val="center"/>
            </w:pPr>
            <w:r>
              <w:rPr>
                <w:rFonts w:ascii="Arial" w:hAnsi="Arial"/>
                <w:sz w:val="18"/>
              </w:rPr>
              <w:t>42 (Modal only)</w:t>
            </w:r>
          </w:p>
        </w:tc>
        <w:tc>
          <w:tcPr>
            <w:tcW w:type="dxa" w:w="1701"/>
            <w:shd w:fill="F0F4FF"/>
          </w:tcPr>
          <w:p>
            <w:pPr>
              <w:jc w:val="center"/>
            </w:pPr>
            <w:r>
              <w:rPr>
                <w:rFonts w:ascii="Arial" w:hAnsi="Arial"/>
                <w:sz w:val="18"/>
              </w:rPr>
              <w:t>42</w:t>
            </w:r>
          </w:p>
        </w:tc>
        <w:tc>
          <w:tcPr>
            <w:tcW w:type="dxa" w:w="3402"/>
            <w:shd w:fill="F0F4FF"/>
          </w:tcPr>
          <w:p>
            <w:pPr>
              <w:jc w:val="center"/>
            </w:pPr>
            <w:r>
              <w:rPr>
                <w:rFonts w:ascii="Arial" w:hAnsi="Arial"/>
                <w:sz w:val="18"/>
              </w:rPr>
              <w:t>Deterministic results for reproducibility</w:t>
            </w:r>
          </w:p>
        </w:tc>
      </w:tr>
      <w:tr>
        <w:tc>
          <w:tcPr>
            <w:tcW w:type="dxa" w:w="1701"/>
          </w:tcPr>
          <w:p>
            <w:pPr>
              <w:jc w:val="center"/>
            </w:pPr>
            <w:r>
              <w:rPr>
                <w:rFonts w:ascii="Arial" w:hAnsi="Arial"/>
                <w:sz w:val="18"/>
              </w:rPr>
              <w:t>Structured output</w:t>
            </w:r>
          </w:p>
        </w:tc>
        <w:tc>
          <w:tcPr>
            <w:tcW w:type="dxa" w:w="1701"/>
          </w:tcPr>
          <w:p>
            <w:pPr>
              <w:jc w:val="center"/>
            </w:pPr>
            <w:r>
              <w:rPr>
                <w:rFonts w:ascii="Arial" w:hAnsi="Arial"/>
                <w:sz w:val="18"/>
              </w:rPr>
              <w:t>Yes (Pydantic)</w:t>
            </w:r>
          </w:p>
        </w:tc>
        <w:tc>
          <w:tcPr>
            <w:tcW w:type="dxa" w:w="1701"/>
          </w:tcPr>
          <w:p>
            <w:pPr>
              <w:jc w:val="center"/>
            </w:pPr>
            <w:r>
              <w:rPr>
                <w:rFonts w:ascii="Arial" w:hAnsi="Arial"/>
                <w:sz w:val="18"/>
              </w:rPr>
              <w:t>No</w:t>
            </w:r>
          </w:p>
        </w:tc>
        <w:tc>
          <w:tcPr>
            <w:tcW w:type="dxa" w:w="3402"/>
          </w:tcPr>
          <w:p>
            <w:pPr>
              <w:jc w:val="center"/>
            </w:pPr>
            <w:r>
              <w:rPr>
                <w:rFonts w:ascii="Arial" w:hAnsi="Arial"/>
                <w:sz w:val="18"/>
              </w:rPr>
              <w:t>Thinking models produce &lt;think&gt; blocks before JSON</w:t>
            </w:r>
          </w:p>
        </w:tc>
      </w:tr>
    </w:tbl>
    <w:p>
      <w:pPr>
        <w:pStyle w:val="Heading2"/>
      </w:pPr>
      <w:r>
        <w:t>LLM-as-Judge Evaluation</w:t>
      </w:r>
    </w:p>
    <w:p>
      <w:r>
        <w:t>Two AI judges independently evaluate each prediction using a structured German prompt. The judge receives the clinical case, ground truth therapy, and the model's full prediction including reasoning. The judge prompt uses the role "Du bist ein erfahrener Uro-Onkologe, der als Gutachter für KI-generierte Therapieempfehlungen fungiert" (You are an experienced uro-oncologist serving as expert reviewer for AI-generated therapy recommendations).</w:t>
      </w:r>
    </w:p>
    <w:p>
      <w:r>
        <w:t>The judge scores each prediction on three dimensions, combined into an overall score using a fixed weighting formula:</w:t>
      </w:r>
    </w:p>
    <w:tbl>
      <w:tblPr>
        <w:tblW w:type="auto" w:w="0"/>
        <w:jc w:val="center"/>
        <w:tblLook w:firstColumn="1" w:firstRow="1" w:lastColumn="0" w:lastRow="0" w:noHBand="0" w:noVBand="1" w:val="04A0"/>
      </w:tblPr>
      <w:tblGrid>
        <w:gridCol w:w="2160"/>
        <w:gridCol w:w="2160"/>
        <w:gridCol w:w="2160"/>
        <w:gridCol w:w="2160"/>
      </w:tblGrid>
      <w:tr>
        <w:tc>
          <w:tcPr>
            <w:tcW w:type="dxa" w:w="1984"/>
            <w:shd w:fill="1E40AF"/>
          </w:tcPr>
          <w:p>
            <w:pPr>
              <w:jc w:val="center"/>
            </w:pPr>
            <w:r>
              <w:rPr>
                <w:rFonts w:ascii="Arial" w:hAnsi="Arial"/>
                <w:b/>
                <w:color w:val="FFFFFF"/>
                <w:sz w:val="18"/>
              </w:rPr>
              <w:t>Dimension</w:t>
            </w:r>
          </w:p>
        </w:tc>
        <w:tc>
          <w:tcPr>
            <w:tcW w:type="dxa" w:w="850"/>
            <w:shd w:fill="1E40AF"/>
          </w:tcPr>
          <w:p>
            <w:pPr>
              <w:jc w:val="center"/>
            </w:pPr>
            <w:r>
              <w:rPr>
                <w:rFonts w:ascii="Arial" w:hAnsi="Arial"/>
                <w:b/>
                <w:color w:val="FFFFFF"/>
                <w:sz w:val="18"/>
              </w:rPr>
              <w:t>Weight</w:t>
            </w:r>
          </w:p>
        </w:tc>
        <w:tc>
          <w:tcPr>
            <w:tcW w:type="dxa" w:w="850"/>
            <w:shd w:fill="1E40AF"/>
          </w:tcPr>
          <w:p>
            <w:pPr>
              <w:jc w:val="center"/>
            </w:pPr>
            <w:r>
              <w:rPr>
                <w:rFonts w:ascii="Arial" w:hAnsi="Arial"/>
                <w:b/>
                <w:color w:val="FFFFFF"/>
                <w:sz w:val="18"/>
              </w:rPr>
              <w:t>Scale</w:t>
            </w:r>
          </w:p>
        </w:tc>
        <w:tc>
          <w:tcPr>
            <w:tcW w:type="dxa" w:w="4535"/>
            <w:shd w:fill="1E40AF"/>
          </w:tcPr>
          <w:p>
            <w:pPr>
              <w:jc w:val="center"/>
            </w:pPr>
            <w:r>
              <w:rPr>
                <w:rFonts w:ascii="Arial" w:hAnsi="Arial"/>
                <w:b/>
                <w:color w:val="FFFFFF"/>
                <w:sz w:val="18"/>
              </w:rPr>
              <w:t>Criteria</w:t>
            </w:r>
          </w:p>
        </w:tc>
      </w:tr>
      <w:tr>
        <w:tc>
          <w:tcPr>
            <w:tcW w:type="dxa" w:w="1984"/>
          </w:tcPr>
          <w:p>
            <w:pPr>
              <w:jc w:val="center"/>
            </w:pPr>
            <w:r>
              <w:rPr>
                <w:rFonts w:ascii="Arial" w:hAnsi="Arial"/>
                <w:sz w:val="18"/>
              </w:rPr>
              <w:t>Semantic Match</w:t>
            </w:r>
          </w:p>
        </w:tc>
        <w:tc>
          <w:tcPr>
            <w:tcW w:type="dxa" w:w="850"/>
          </w:tcPr>
          <w:p>
            <w:pPr>
              <w:jc w:val="center"/>
            </w:pPr>
            <w:r>
              <w:rPr>
                <w:rFonts w:ascii="Arial" w:hAnsi="Arial"/>
                <w:sz w:val="18"/>
              </w:rPr>
              <w:t>40%</w:t>
            </w:r>
          </w:p>
        </w:tc>
        <w:tc>
          <w:tcPr>
            <w:tcW w:type="dxa" w:w="850"/>
          </w:tcPr>
          <w:p>
            <w:pPr>
              <w:jc w:val="center"/>
            </w:pPr>
            <w:r>
              <w:rPr>
                <w:rFonts w:ascii="Arial" w:hAnsi="Arial"/>
                <w:sz w:val="18"/>
              </w:rPr>
              <w:t>0–1</w:t>
            </w:r>
          </w:p>
        </w:tc>
        <w:tc>
          <w:tcPr>
            <w:tcW w:type="dxa" w:w="4535"/>
          </w:tcPr>
          <w:p>
            <w:pPr>
              <w:jc w:val="center"/>
            </w:pPr>
            <w:r>
              <w:rPr>
                <w:rFonts w:ascii="Arial" w:hAnsi="Arial"/>
                <w:sz w:val="18"/>
              </w:rPr>
              <w:t>Does the therapy match the ground truth? Same drug = 1.0, same class = 0.5–0.7, different class = 0–0.3</w:t>
            </w:r>
          </w:p>
        </w:tc>
      </w:tr>
      <w:tr>
        <w:tc>
          <w:tcPr>
            <w:tcW w:type="dxa" w:w="1984"/>
            <w:shd w:fill="F0F4FF"/>
          </w:tcPr>
          <w:p>
            <w:pPr>
              <w:jc w:val="center"/>
            </w:pPr>
            <w:r>
              <w:rPr>
                <w:rFonts w:ascii="Arial" w:hAnsi="Arial"/>
                <w:sz w:val="18"/>
              </w:rPr>
              <w:t>Clinical Appropriateness</w:t>
            </w:r>
          </w:p>
        </w:tc>
        <w:tc>
          <w:tcPr>
            <w:tcW w:type="dxa" w:w="850"/>
            <w:shd w:fill="F0F4FF"/>
          </w:tcPr>
          <w:p>
            <w:pPr>
              <w:jc w:val="center"/>
            </w:pPr>
            <w:r>
              <w:rPr>
                <w:rFonts w:ascii="Arial" w:hAnsi="Arial"/>
                <w:sz w:val="18"/>
              </w:rPr>
              <w:t>40%</w:t>
            </w:r>
          </w:p>
        </w:tc>
        <w:tc>
          <w:tcPr>
            <w:tcW w:type="dxa" w:w="850"/>
            <w:shd w:fill="F0F4FF"/>
          </w:tcPr>
          <w:p>
            <w:pPr>
              <w:jc w:val="center"/>
            </w:pPr>
            <w:r>
              <w:rPr>
                <w:rFonts w:ascii="Arial" w:hAnsi="Arial"/>
                <w:sz w:val="18"/>
              </w:rPr>
              <w:t>0–1</w:t>
            </w:r>
          </w:p>
        </w:tc>
        <w:tc>
          <w:tcPr>
            <w:tcW w:type="dxa" w:w="4535"/>
            <w:shd w:fill="F0F4FF"/>
          </w:tcPr>
          <w:p>
            <w:pPr>
              <w:jc w:val="center"/>
            </w:pPr>
            <w:r>
              <w:rPr>
                <w:rFonts w:ascii="Arial" w:hAnsi="Arial"/>
                <w:sz w:val="18"/>
              </w:rPr>
              <w:t>Is the therapy guideline-concordant regardless of exact match? First-choice = 0.9–1.0, acceptable alternative = 0.6–0.8</w:t>
            </w:r>
          </w:p>
        </w:tc>
      </w:tr>
      <w:tr>
        <w:tc>
          <w:tcPr>
            <w:tcW w:type="dxa" w:w="1984"/>
          </w:tcPr>
          <w:p>
            <w:pPr>
              <w:jc w:val="center"/>
            </w:pPr>
            <w:r>
              <w:rPr>
                <w:rFonts w:ascii="Arial" w:hAnsi="Arial"/>
                <w:sz w:val="18"/>
              </w:rPr>
              <w:t>Reasoning Quality</w:t>
            </w:r>
          </w:p>
        </w:tc>
        <w:tc>
          <w:tcPr>
            <w:tcW w:type="dxa" w:w="850"/>
          </w:tcPr>
          <w:p>
            <w:pPr>
              <w:jc w:val="center"/>
            </w:pPr>
            <w:r>
              <w:rPr>
                <w:rFonts w:ascii="Arial" w:hAnsi="Arial"/>
                <w:sz w:val="18"/>
              </w:rPr>
              <w:t>20%</w:t>
            </w:r>
          </w:p>
        </w:tc>
        <w:tc>
          <w:tcPr>
            <w:tcW w:type="dxa" w:w="850"/>
          </w:tcPr>
          <w:p>
            <w:pPr>
              <w:jc w:val="center"/>
            </w:pPr>
            <w:r>
              <w:rPr>
                <w:rFonts w:ascii="Arial" w:hAnsi="Arial"/>
                <w:sz w:val="18"/>
              </w:rPr>
              <w:t>0–1</w:t>
            </w:r>
          </w:p>
        </w:tc>
        <w:tc>
          <w:tcPr>
            <w:tcW w:type="dxa" w:w="4535"/>
          </w:tcPr>
          <w:p>
            <w:pPr>
              <w:jc w:val="center"/>
            </w:pPr>
            <w:r>
              <w:rPr>
                <w:rFonts w:ascii="Arial" w:hAnsi="Arial"/>
                <w:sz w:val="18"/>
              </w:rPr>
              <w:t>Is the clinical reasoning complete, logical, and medically correct? Evaluated for IMDC calculation, staging, and hallucinations</w:t>
            </w:r>
          </w:p>
        </w:tc>
      </w:tr>
    </w:tbl>
    <w:p>
      <w:r>
        <w:t>Overall Score = (Semantic × 0.4) + (Clinical × 0.4) + (Reasoning × 0.2). The judge also provides a binary is_correct verdict and a free-text reasoning critique in German.</w:t>
      </w:r>
    </w:p>
    <w:p>
      <w:pPr>
        <w:pStyle w:val="Heading2"/>
      </w:pPr>
      <w:r>
        <w:t>Uro-Oncologist Validation Protocol</w:t>
      </w:r>
    </w:p>
    <w:p>
      <w:r>
        <w:t>Dr. Radu Alexa, a board-certified uro-oncologist, independently reviews both model predictions and judge evaluations through a custom web platform. Two distinct review types are conducted:</w:t>
      </w:r>
    </w:p>
    <w:tbl>
      <w:tblPr>
        <w:tblW w:type="auto" w:w="0"/>
        <w:jc w:val="center"/>
        <w:tblLook w:firstColumn="1" w:firstRow="1" w:lastColumn="0" w:lastRow="0" w:noHBand="0" w:noVBand="1" w:val="04A0"/>
      </w:tblPr>
      <w:tblGrid>
        <w:gridCol w:w="2160"/>
        <w:gridCol w:w="2160"/>
        <w:gridCol w:w="2160"/>
        <w:gridCol w:w="2160"/>
      </w:tblGrid>
      <w:tr>
        <w:tc>
          <w:tcPr>
            <w:tcW w:type="dxa" w:w="1701"/>
            <w:shd w:fill="1E40AF"/>
          </w:tcPr>
          <w:p>
            <w:pPr>
              <w:jc w:val="center"/>
            </w:pPr>
            <w:r>
              <w:rPr>
                <w:rFonts w:ascii="Arial" w:hAnsi="Arial"/>
                <w:b/>
                <w:color w:val="FFFFFF"/>
                <w:sz w:val="18"/>
              </w:rPr>
              <w:t>Review Type</w:t>
            </w:r>
          </w:p>
        </w:tc>
        <w:tc>
          <w:tcPr>
            <w:tcW w:type="dxa" w:w="1701"/>
            <w:shd w:fill="1E40AF"/>
          </w:tcPr>
          <w:p>
            <w:pPr>
              <w:jc w:val="center"/>
            </w:pPr>
            <w:r>
              <w:rPr>
                <w:rFonts w:ascii="Arial" w:hAnsi="Arial"/>
                <w:b/>
                <w:color w:val="FFFFFF"/>
                <w:sz w:val="18"/>
              </w:rPr>
              <w:t>Target</w:t>
            </w:r>
          </w:p>
        </w:tc>
        <w:tc>
          <w:tcPr>
            <w:tcW w:type="dxa" w:w="2835"/>
            <w:shd w:fill="1E40AF"/>
          </w:tcPr>
          <w:p>
            <w:pPr>
              <w:jc w:val="center"/>
            </w:pPr>
            <w:r>
              <w:rPr>
                <w:rFonts w:ascii="Arial" w:hAnsi="Arial"/>
                <w:b/>
                <w:color w:val="FFFFFF"/>
                <w:sz w:val="18"/>
              </w:rPr>
              <w:t>Metrics</w:t>
            </w:r>
          </w:p>
        </w:tc>
        <w:tc>
          <w:tcPr>
            <w:tcW w:type="dxa" w:w="2268"/>
            <w:shd w:fill="1E40AF"/>
          </w:tcPr>
          <w:p>
            <w:pPr>
              <w:jc w:val="center"/>
            </w:pPr>
            <w:r>
              <w:rPr>
                <w:rFonts w:ascii="Arial" w:hAnsi="Arial"/>
                <w:b/>
                <w:color w:val="FFFFFF"/>
                <w:sz w:val="18"/>
              </w:rPr>
              <w:t>Scale</w:t>
            </w:r>
          </w:p>
        </w:tc>
      </w:tr>
      <w:tr>
        <w:tc>
          <w:tcPr>
            <w:tcW w:type="dxa" w:w="1701"/>
          </w:tcPr>
          <w:p>
            <w:pPr>
              <w:jc w:val="center"/>
            </w:pPr>
            <w:r>
              <w:rPr>
                <w:rFonts w:ascii="Arial" w:hAnsi="Arial"/>
                <w:sz w:val="18"/>
              </w:rPr>
              <w:t>Model Review</w:t>
            </w:r>
          </w:p>
        </w:tc>
        <w:tc>
          <w:tcPr>
            <w:tcW w:type="dxa" w:w="1701"/>
          </w:tcPr>
          <w:p>
            <w:pPr>
              <w:jc w:val="center"/>
            </w:pPr>
            <w:r>
              <w:rPr>
                <w:rFonts w:ascii="Arial" w:hAnsi="Arial"/>
                <w:sz w:val="18"/>
              </w:rPr>
              <w:t>LLM prediction</w:t>
            </w:r>
          </w:p>
        </w:tc>
        <w:tc>
          <w:tcPr>
            <w:tcW w:type="dxa" w:w="2835"/>
          </w:tcPr>
          <w:p>
            <w:pPr>
              <w:jc w:val="center"/>
            </w:pPr>
            <w:r>
              <w:rPr>
                <w:rFonts w:ascii="Arial" w:hAnsi="Arial"/>
                <w:sz w:val="18"/>
              </w:rPr>
              <w:t>Therapy acceptable, exact match, patient-oriented, quality</w:t>
            </w:r>
          </w:p>
        </w:tc>
        <w:tc>
          <w:tcPr>
            <w:tcW w:type="dxa" w:w="2268"/>
          </w:tcPr>
          <w:p>
            <w:pPr>
              <w:jc w:val="center"/>
            </w:pPr>
            <w:r>
              <w:rPr>
                <w:rFonts w:ascii="Arial" w:hAnsi="Arial"/>
                <w:sz w:val="18"/>
              </w:rPr>
              <w:t>Boolean, 0–100, 0–100, 0–9</w:t>
            </w:r>
          </w:p>
        </w:tc>
      </w:tr>
      <w:tr>
        <w:tc>
          <w:tcPr>
            <w:tcW w:type="dxa" w:w="1701"/>
            <w:shd w:fill="F0F4FF"/>
          </w:tcPr>
          <w:p>
            <w:pPr>
              <w:jc w:val="center"/>
            </w:pPr>
            <w:r>
              <w:rPr>
                <w:rFonts w:ascii="Arial" w:hAnsi="Arial"/>
                <w:sz w:val="18"/>
              </w:rPr>
              <w:t>Judge Review</w:t>
            </w:r>
          </w:p>
        </w:tc>
        <w:tc>
          <w:tcPr>
            <w:tcW w:type="dxa" w:w="1701"/>
            <w:shd w:fill="F0F4FF"/>
          </w:tcPr>
          <w:p>
            <w:pPr>
              <w:jc w:val="center"/>
            </w:pPr>
            <w:r>
              <w:rPr>
                <w:rFonts w:ascii="Arial" w:hAnsi="Arial"/>
                <w:sz w:val="18"/>
              </w:rPr>
              <w:t>AI judge evaluation</w:t>
            </w:r>
          </w:p>
        </w:tc>
        <w:tc>
          <w:tcPr>
            <w:tcW w:type="dxa" w:w="2835"/>
            <w:shd w:fill="F0F4FF"/>
          </w:tcPr>
          <w:p>
            <w:pPr>
              <w:jc w:val="center"/>
            </w:pPr>
            <w:r>
              <w:rPr>
                <w:rFonts w:ascii="Arial" w:hAnsi="Arial"/>
                <w:sz w:val="18"/>
              </w:rPr>
              <w:t>Judge correct, reasoning quality, comment</w:t>
            </w:r>
          </w:p>
        </w:tc>
        <w:tc>
          <w:tcPr>
            <w:tcW w:type="dxa" w:w="2268"/>
            <w:shd w:fill="F0F4FF"/>
          </w:tcPr>
          <w:p>
            <w:pPr>
              <w:jc w:val="center"/>
            </w:pPr>
            <w:r>
              <w:rPr>
                <w:rFonts w:ascii="Arial" w:hAnsi="Arial"/>
                <w:sz w:val="18"/>
              </w:rPr>
              <w:t>Agree/Partial/Disagree, 0–10, free text</w:t>
            </w:r>
          </w:p>
        </w:tc>
      </w:tr>
    </w:tbl>
    <w:p>
      <w:r>
        <w:br w:type="page"/>
      </w:r>
    </w:p>
    <w:p>
      <w:pPr>
        <w:pStyle w:val="Heading1"/>
      </w:pPr>
      <w:r>
        <w:t>5. Patient Cohort</w:t>
      </w:r>
    </w:p>
    <w:p>
      <w:r>
        <w:t>The dataset comprises 69 anonymized RCC cases from German tumor board discussions. All patient names are pseudonymized.</w:t>
      </w:r>
    </w:p>
    <w:p>
      <w:pPr>
        <w:jc w:val="center"/>
      </w:pPr>
      <w:r>
        <w:drawing>
          <wp:inline xmlns:a="http://schemas.openxmlformats.org/drawingml/2006/main" xmlns:pic="http://schemas.openxmlformats.org/drawingml/2006/picture">
            <wp:extent cx="5486400" cy="1702675"/>
            <wp:docPr id="1" name="Picture 1"/>
            <wp:cNvGraphicFramePr>
              <a:graphicFrameLocks noChangeAspect="1"/>
            </wp:cNvGraphicFramePr>
            <a:graphic>
              <a:graphicData uri="http://schemas.openxmlformats.org/drawingml/2006/picture">
                <pic:pic>
                  <pic:nvPicPr>
                    <pic:cNvPr id="0" name="demographics.png"/>
                    <pic:cNvPicPr/>
                  </pic:nvPicPr>
                  <pic:blipFill>
                    <a:blip r:embed="rId9"/>
                    <a:stretch>
                      <a:fillRect/>
                    </a:stretch>
                  </pic:blipFill>
                  <pic:spPr>
                    <a:xfrm>
                      <a:off x="0" y="0"/>
                      <a:ext cx="5486400" cy="1702675"/>
                    </a:xfrm>
                    <a:prstGeom prst="rect"/>
                  </pic:spPr>
                </pic:pic>
              </a:graphicData>
            </a:graphic>
          </wp:inline>
        </w:drawing>
      </w:r>
    </w:p>
    <w:p>
      <w:pPr>
        <w:pStyle w:val="Heading2"/>
      </w:pPr>
      <w:r>
        <w:t>Demographics Summary</w:t>
      </w:r>
    </w:p>
    <w:tbl>
      <w:tblPr>
        <w:tblW w:type="auto" w:w="0"/>
        <w:jc w:val="center"/>
        <w:tblLook w:firstColumn="1" w:firstRow="1" w:lastColumn="0" w:lastRow="0" w:noHBand="0" w:noVBand="1" w:val="04A0"/>
      </w:tblPr>
      <w:tblGrid>
        <w:gridCol w:w="4320"/>
        <w:gridCol w:w="4320"/>
      </w:tblGrid>
      <w:tr>
        <w:tc>
          <w:tcPr>
            <w:tcW w:type="dxa" w:w="3402"/>
            <w:shd w:fill="1E40AF"/>
          </w:tcPr>
          <w:p>
            <w:pPr>
              <w:jc w:val="center"/>
            </w:pPr>
            <w:r>
              <w:rPr>
                <w:rFonts w:ascii="Arial" w:hAnsi="Arial"/>
                <w:b/>
                <w:color w:val="FFFFFF"/>
                <w:sz w:val="18"/>
              </w:rPr>
              <w:t>Characteristic</w:t>
            </w:r>
          </w:p>
        </w:tc>
        <w:tc>
          <w:tcPr>
            <w:tcW w:type="dxa" w:w="3402"/>
            <w:shd w:fill="1E40AF"/>
          </w:tcPr>
          <w:p>
            <w:pPr>
              <w:jc w:val="center"/>
            </w:pPr>
            <w:r>
              <w:rPr>
                <w:rFonts w:ascii="Arial" w:hAnsi="Arial"/>
                <w:b/>
                <w:color w:val="FFFFFF"/>
                <w:sz w:val="18"/>
              </w:rPr>
              <w:t>Value</w:t>
            </w:r>
          </w:p>
        </w:tc>
      </w:tr>
      <w:tr>
        <w:tc>
          <w:tcPr>
            <w:tcW w:type="dxa" w:w="3402"/>
          </w:tcPr>
          <w:p>
            <w:pPr>
              <w:jc w:val="center"/>
            </w:pPr>
            <w:r>
              <w:rPr>
                <w:rFonts w:ascii="Arial" w:hAnsi="Arial"/>
                <w:sz w:val="18"/>
              </w:rPr>
              <w:t>Total cases</w:t>
            </w:r>
          </w:p>
        </w:tc>
        <w:tc>
          <w:tcPr>
            <w:tcW w:type="dxa" w:w="3402"/>
          </w:tcPr>
          <w:p>
            <w:pPr>
              <w:jc w:val="center"/>
            </w:pPr>
            <w:r>
              <w:rPr>
                <w:rFonts w:ascii="Arial" w:hAnsi="Arial"/>
                <w:sz w:val="18"/>
              </w:rPr>
              <w:t>69</w:t>
            </w:r>
          </w:p>
        </w:tc>
      </w:tr>
      <w:tr>
        <w:tc>
          <w:tcPr>
            <w:tcW w:type="dxa" w:w="3402"/>
            <w:shd w:fill="F0F4FF"/>
          </w:tcPr>
          <w:p>
            <w:pPr>
              <w:jc w:val="center"/>
            </w:pPr>
            <w:r>
              <w:rPr>
                <w:rFonts w:ascii="Arial" w:hAnsi="Arial"/>
                <w:sz w:val="18"/>
              </w:rPr>
              <w:t>Age range</w:t>
            </w:r>
          </w:p>
        </w:tc>
        <w:tc>
          <w:tcPr>
            <w:tcW w:type="dxa" w:w="3402"/>
            <w:shd w:fill="F0F4FF"/>
          </w:tcPr>
          <w:p>
            <w:pPr>
              <w:jc w:val="center"/>
            </w:pPr>
            <w:r>
              <w:rPr>
                <w:rFonts w:ascii="Arial" w:hAnsi="Arial"/>
                <w:sz w:val="18"/>
              </w:rPr>
              <w:t>43–82 years</w:t>
            </w:r>
          </w:p>
        </w:tc>
      </w:tr>
      <w:tr>
        <w:tc>
          <w:tcPr>
            <w:tcW w:type="dxa" w:w="3402"/>
          </w:tcPr>
          <w:p>
            <w:pPr>
              <w:jc w:val="center"/>
            </w:pPr>
            <w:r>
              <w:rPr>
                <w:rFonts w:ascii="Arial" w:hAnsi="Arial"/>
                <w:sz w:val="18"/>
              </w:rPr>
              <w:t>Age mean / median</w:t>
            </w:r>
          </w:p>
        </w:tc>
        <w:tc>
          <w:tcPr>
            <w:tcW w:type="dxa" w:w="3402"/>
          </w:tcPr>
          <w:p>
            <w:pPr>
              <w:jc w:val="center"/>
            </w:pPr>
            <w:r>
              <w:rPr>
                <w:rFonts w:ascii="Arial" w:hAnsi="Arial"/>
                <w:sz w:val="18"/>
              </w:rPr>
              <w:t>67 / 67 years</w:t>
            </w:r>
          </w:p>
        </w:tc>
      </w:tr>
      <w:tr>
        <w:tc>
          <w:tcPr>
            <w:tcW w:type="dxa" w:w="3402"/>
            <w:shd w:fill="F0F4FF"/>
          </w:tcPr>
          <w:p>
            <w:pPr>
              <w:jc w:val="center"/>
            </w:pPr>
            <w:r>
              <w:rPr>
                <w:rFonts w:ascii="Arial" w:hAnsi="Arial"/>
                <w:sz w:val="18"/>
              </w:rPr>
              <w:t>Metastatic</w:t>
            </w:r>
          </w:p>
        </w:tc>
        <w:tc>
          <w:tcPr>
            <w:tcW w:type="dxa" w:w="3402"/>
            <w:shd w:fill="F0F4FF"/>
          </w:tcPr>
          <w:p>
            <w:pPr>
              <w:jc w:val="center"/>
            </w:pPr>
            <w:r>
              <w:rPr>
                <w:rFonts w:ascii="Arial" w:hAnsi="Arial"/>
                <w:sz w:val="18"/>
              </w:rPr>
              <w:t>36 (52.2%)</w:t>
            </w:r>
          </w:p>
        </w:tc>
      </w:tr>
      <w:tr>
        <w:tc>
          <w:tcPr>
            <w:tcW w:type="dxa" w:w="3402"/>
          </w:tcPr>
          <w:p>
            <w:pPr>
              <w:jc w:val="center"/>
            </w:pPr>
            <w:r>
              <w:rPr>
                <w:rFonts w:ascii="Arial" w:hAnsi="Arial"/>
                <w:sz w:val="18"/>
              </w:rPr>
              <w:t>Localized</w:t>
            </w:r>
          </w:p>
        </w:tc>
        <w:tc>
          <w:tcPr>
            <w:tcW w:type="dxa" w:w="3402"/>
          </w:tcPr>
          <w:p>
            <w:pPr>
              <w:jc w:val="center"/>
            </w:pPr>
            <w:r>
              <w:rPr>
                <w:rFonts w:ascii="Arial" w:hAnsi="Arial"/>
                <w:sz w:val="18"/>
              </w:rPr>
              <w:t>33 (47.8%)</w:t>
            </w:r>
          </w:p>
        </w:tc>
      </w:tr>
      <w:tr>
        <w:tc>
          <w:tcPr>
            <w:tcW w:type="dxa" w:w="3402"/>
            <w:shd w:fill="F0F4FF"/>
          </w:tcPr>
          <w:p>
            <w:pPr>
              <w:jc w:val="center"/>
            </w:pPr>
            <w:r>
              <w:rPr>
                <w:rFonts w:ascii="Arial" w:hAnsi="Arial"/>
                <w:sz w:val="18"/>
              </w:rPr>
              <w:t>Clear cell (ccRCC)</w:t>
            </w:r>
          </w:p>
        </w:tc>
        <w:tc>
          <w:tcPr>
            <w:tcW w:type="dxa" w:w="3402"/>
            <w:shd w:fill="F0F4FF"/>
          </w:tcPr>
          <w:p>
            <w:pPr>
              <w:jc w:val="center"/>
            </w:pPr>
            <w:r>
              <w:rPr>
                <w:rFonts w:ascii="Arial" w:hAnsi="Arial"/>
                <w:sz w:val="18"/>
              </w:rPr>
              <w:t>12</w:t>
            </w:r>
          </w:p>
        </w:tc>
      </w:tr>
      <w:tr>
        <w:tc>
          <w:tcPr>
            <w:tcW w:type="dxa" w:w="3402"/>
          </w:tcPr>
          <w:p>
            <w:pPr>
              <w:jc w:val="center"/>
            </w:pPr>
            <w:r>
              <w:rPr>
                <w:rFonts w:ascii="Arial" w:hAnsi="Arial"/>
                <w:sz w:val="18"/>
              </w:rPr>
              <w:t>Non-clear cell</w:t>
            </w:r>
          </w:p>
        </w:tc>
        <w:tc>
          <w:tcPr>
            <w:tcW w:type="dxa" w:w="3402"/>
          </w:tcPr>
          <w:p>
            <w:pPr>
              <w:jc w:val="center"/>
            </w:pPr>
            <w:r>
              <w:rPr>
                <w:rFonts w:ascii="Arial" w:hAnsi="Arial"/>
                <w:sz w:val="18"/>
              </w:rPr>
              <w:t>3</w:t>
            </w:r>
          </w:p>
        </w:tc>
      </w:tr>
      <w:tr>
        <w:tc>
          <w:tcPr>
            <w:tcW w:type="dxa" w:w="3402"/>
            <w:shd w:fill="F0F4FF"/>
          </w:tcPr>
          <w:p>
            <w:pPr>
              <w:jc w:val="center"/>
            </w:pPr>
            <w:r>
              <w:rPr>
                <w:rFonts w:ascii="Arial" w:hAnsi="Arial"/>
                <w:sz w:val="18"/>
              </w:rPr>
              <w:t>Histology not specified</w:t>
            </w:r>
          </w:p>
        </w:tc>
        <w:tc>
          <w:tcPr>
            <w:tcW w:type="dxa" w:w="3402"/>
            <w:shd w:fill="F0F4FF"/>
          </w:tcPr>
          <w:p>
            <w:pPr>
              <w:jc w:val="center"/>
            </w:pPr>
            <w:r>
              <w:rPr>
                <w:rFonts w:ascii="Arial" w:hAnsi="Arial"/>
                <w:sz w:val="18"/>
              </w:rPr>
              <w:t>54</w:t>
            </w:r>
          </w:p>
        </w:tc>
      </w:tr>
    </w:tbl>
    <w:p>
      <w:pPr>
        <w:pStyle w:val="Heading2"/>
      </w:pPr>
      <w:r>
        <w:t>ECOG Performance Status</w:t>
      </w:r>
    </w:p>
    <w:tbl>
      <w:tblPr>
        <w:tblW w:type="auto" w:w="0"/>
        <w:jc w:val="center"/>
        <w:tblLook w:firstColumn="1" w:firstRow="1" w:lastColumn="0" w:lastRow="0" w:noHBand="0" w:noVBand="1" w:val="04A0"/>
      </w:tblPr>
      <w:tblGrid>
        <w:gridCol w:w="2160"/>
        <w:gridCol w:w="2160"/>
        <w:gridCol w:w="2160"/>
        <w:gridCol w:w="2160"/>
      </w:tblGrid>
      <w:tr>
        <w:tc>
          <w:tcPr>
            <w:tcW w:type="dxa" w:w="1417"/>
            <w:shd w:fill="1E40AF"/>
          </w:tcPr>
          <w:p>
            <w:pPr>
              <w:jc w:val="center"/>
            </w:pPr>
            <w:r>
              <w:rPr>
                <w:rFonts w:ascii="Arial" w:hAnsi="Arial"/>
                <w:b/>
                <w:color w:val="FFFFFF"/>
                <w:sz w:val="18"/>
              </w:rPr>
              <w:t>Status</w:t>
            </w:r>
          </w:p>
        </w:tc>
        <w:tc>
          <w:tcPr>
            <w:tcW w:type="dxa" w:w="1134"/>
            <w:shd w:fill="1E40AF"/>
          </w:tcPr>
          <w:p>
            <w:pPr>
              <w:jc w:val="center"/>
            </w:pPr>
            <w:r>
              <w:rPr>
                <w:rFonts w:ascii="Arial" w:hAnsi="Arial"/>
                <w:b/>
                <w:color w:val="FFFFFF"/>
                <w:sz w:val="18"/>
              </w:rPr>
              <w:t>Count</w:t>
            </w:r>
          </w:p>
        </w:tc>
        <w:tc>
          <w:tcPr>
            <w:tcW w:type="dxa" w:w="1417"/>
            <w:shd w:fill="1E40AF"/>
          </w:tcPr>
          <w:p>
            <w:pPr>
              <w:jc w:val="center"/>
            </w:pPr>
            <w:r>
              <w:rPr>
                <w:rFonts w:ascii="Arial" w:hAnsi="Arial"/>
                <w:b/>
                <w:color w:val="FFFFFF"/>
                <w:sz w:val="18"/>
              </w:rPr>
              <w:t>Percentage</w:t>
            </w:r>
          </w:p>
        </w:tc>
        <w:tc>
          <w:tcPr>
            <w:tcW w:type="dxa" w:w="4535"/>
            <w:shd w:fill="1E40AF"/>
          </w:tcPr>
          <w:p>
            <w:pPr>
              <w:jc w:val="center"/>
            </w:pPr>
            <w:r>
              <w:rPr>
                <w:rFonts w:ascii="Arial" w:hAnsi="Arial"/>
                <w:b/>
                <w:color w:val="FFFFFF"/>
                <w:sz w:val="18"/>
              </w:rPr>
              <w:t>Description</w:t>
            </w:r>
          </w:p>
        </w:tc>
      </w:tr>
      <w:tr>
        <w:tc>
          <w:tcPr>
            <w:tcW w:type="dxa" w:w="1417"/>
          </w:tcPr>
          <w:p>
            <w:pPr>
              <w:jc w:val="center"/>
            </w:pPr>
            <w:r>
              <w:rPr>
                <w:rFonts w:ascii="Arial" w:hAnsi="Arial"/>
                <w:sz w:val="18"/>
              </w:rPr>
              <w:t>ECOG 0</w:t>
            </w:r>
          </w:p>
        </w:tc>
        <w:tc>
          <w:tcPr>
            <w:tcW w:type="dxa" w:w="1134"/>
          </w:tcPr>
          <w:p>
            <w:pPr>
              <w:jc w:val="center"/>
            </w:pPr>
            <w:r>
              <w:rPr>
                <w:rFonts w:ascii="Arial" w:hAnsi="Arial"/>
                <w:sz w:val="18"/>
              </w:rPr>
              <w:t>12</w:t>
            </w:r>
          </w:p>
        </w:tc>
        <w:tc>
          <w:tcPr>
            <w:tcW w:type="dxa" w:w="1417"/>
          </w:tcPr>
          <w:p>
            <w:pPr>
              <w:jc w:val="center"/>
            </w:pPr>
            <w:r>
              <w:rPr>
                <w:rFonts w:ascii="Arial" w:hAnsi="Arial"/>
                <w:sz w:val="18"/>
              </w:rPr>
              <w:t>18.8%</w:t>
            </w:r>
          </w:p>
        </w:tc>
        <w:tc>
          <w:tcPr>
            <w:tcW w:type="dxa" w:w="4535"/>
          </w:tcPr>
          <w:p>
            <w:pPr>
              <w:jc w:val="center"/>
            </w:pPr>
            <w:r>
              <w:rPr>
                <w:rFonts w:ascii="Arial" w:hAnsi="Arial"/>
                <w:sz w:val="18"/>
              </w:rPr>
              <w:t>Fully active</w:t>
            </w:r>
          </w:p>
        </w:tc>
      </w:tr>
      <w:tr>
        <w:tc>
          <w:tcPr>
            <w:tcW w:type="dxa" w:w="1417"/>
            <w:shd w:fill="F0F4FF"/>
          </w:tcPr>
          <w:p>
            <w:pPr>
              <w:jc w:val="center"/>
            </w:pPr>
            <w:r>
              <w:rPr>
                <w:rFonts w:ascii="Arial" w:hAnsi="Arial"/>
                <w:sz w:val="18"/>
              </w:rPr>
              <w:t>ECOG 1</w:t>
            </w:r>
          </w:p>
        </w:tc>
        <w:tc>
          <w:tcPr>
            <w:tcW w:type="dxa" w:w="1134"/>
            <w:shd w:fill="F0F4FF"/>
          </w:tcPr>
          <w:p>
            <w:pPr>
              <w:jc w:val="center"/>
            </w:pPr>
            <w:r>
              <w:rPr>
                <w:rFonts w:ascii="Arial" w:hAnsi="Arial"/>
                <w:sz w:val="18"/>
              </w:rPr>
              <w:t>19</w:t>
            </w:r>
          </w:p>
        </w:tc>
        <w:tc>
          <w:tcPr>
            <w:tcW w:type="dxa" w:w="1417"/>
            <w:shd w:fill="F0F4FF"/>
          </w:tcPr>
          <w:p>
            <w:pPr>
              <w:jc w:val="center"/>
            </w:pPr>
            <w:r>
              <w:rPr>
                <w:rFonts w:ascii="Arial" w:hAnsi="Arial"/>
                <w:sz w:val="18"/>
              </w:rPr>
              <w:t>29.7%</w:t>
            </w:r>
          </w:p>
        </w:tc>
        <w:tc>
          <w:tcPr>
            <w:tcW w:type="dxa" w:w="4535"/>
            <w:shd w:fill="F0F4FF"/>
          </w:tcPr>
          <w:p>
            <w:pPr>
              <w:jc w:val="center"/>
            </w:pPr>
            <w:r>
              <w:rPr>
                <w:rFonts w:ascii="Arial" w:hAnsi="Arial"/>
                <w:sz w:val="18"/>
              </w:rPr>
              <w:t>Restricted but ambulatory</w:t>
            </w:r>
          </w:p>
        </w:tc>
      </w:tr>
      <w:tr>
        <w:tc>
          <w:tcPr>
            <w:tcW w:type="dxa" w:w="1417"/>
          </w:tcPr>
          <w:p>
            <w:pPr>
              <w:jc w:val="center"/>
            </w:pPr>
            <w:r>
              <w:rPr>
                <w:rFonts w:ascii="Arial" w:hAnsi="Arial"/>
                <w:sz w:val="18"/>
              </w:rPr>
              <w:t>ECOG 2</w:t>
            </w:r>
          </w:p>
        </w:tc>
        <w:tc>
          <w:tcPr>
            <w:tcW w:type="dxa" w:w="1134"/>
          </w:tcPr>
          <w:p>
            <w:pPr>
              <w:jc w:val="center"/>
            </w:pPr>
            <w:r>
              <w:rPr>
                <w:rFonts w:ascii="Arial" w:hAnsi="Arial"/>
                <w:sz w:val="18"/>
              </w:rPr>
              <w:t>30</w:t>
            </w:r>
          </w:p>
        </w:tc>
        <w:tc>
          <w:tcPr>
            <w:tcW w:type="dxa" w:w="1417"/>
          </w:tcPr>
          <w:p>
            <w:pPr>
              <w:jc w:val="center"/>
            </w:pPr>
            <w:r>
              <w:rPr>
                <w:rFonts w:ascii="Arial" w:hAnsi="Arial"/>
                <w:sz w:val="18"/>
              </w:rPr>
              <w:t>46.9%</w:t>
            </w:r>
          </w:p>
        </w:tc>
        <w:tc>
          <w:tcPr>
            <w:tcW w:type="dxa" w:w="4535"/>
          </w:tcPr>
          <w:p>
            <w:pPr>
              <w:jc w:val="center"/>
            </w:pPr>
            <w:r>
              <w:rPr>
                <w:rFonts w:ascii="Arial" w:hAnsi="Arial"/>
                <w:sz w:val="18"/>
              </w:rPr>
              <w:t>Ambulatory, limited self-care</w:t>
            </w:r>
          </w:p>
        </w:tc>
      </w:tr>
      <w:tr>
        <w:tc>
          <w:tcPr>
            <w:tcW w:type="dxa" w:w="1417"/>
            <w:shd w:fill="F0F4FF"/>
          </w:tcPr>
          <w:p>
            <w:pPr>
              <w:jc w:val="center"/>
            </w:pPr>
            <w:r>
              <w:rPr>
                <w:rFonts w:ascii="Arial" w:hAnsi="Arial"/>
                <w:sz w:val="18"/>
              </w:rPr>
              <w:t>ECOG 3</w:t>
            </w:r>
          </w:p>
        </w:tc>
        <w:tc>
          <w:tcPr>
            <w:tcW w:type="dxa" w:w="1134"/>
            <w:shd w:fill="F0F4FF"/>
          </w:tcPr>
          <w:p>
            <w:pPr>
              <w:jc w:val="center"/>
            </w:pPr>
            <w:r>
              <w:rPr>
                <w:rFonts w:ascii="Arial" w:hAnsi="Arial"/>
                <w:sz w:val="18"/>
              </w:rPr>
              <w:t>3</w:t>
            </w:r>
          </w:p>
        </w:tc>
        <w:tc>
          <w:tcPr>
            <w:tcW w:type="dxa" w:w="1417"/>
            <w:shd w:fill="F0F4FF"/>
          </w:tcPr>
          <w:p>
            <w:pPr>
              <w:jc w:val="center"/>
            </w:pPr>
            <w:r>
              <w:rPr>
                <w:rFonts w:ascii="Arial" w:hAnsi="Arial"/>
                <w:sz w:val="18"/>
              </w:rPr>
              <w:t>4.7%</w:t>
            </w:r>
          </w:p>
        </w:tc>
        <w:tc>
          <w:tcPr>
            <w:tcW w:type="dxa" w:w="4535"/>
            <w:shd w:fill="F0F4FF"/>
          </w:tcPr>
          <w:p>
            <w:pPr>
              <w:jc w:val="center"/>
            </w:pPr>
            <w:r>
              <w:rPr>
                <w:rFonts w:ascii="Arial" w:hAnsi="Arial"/>
                <w:sz w:val="18"/>
              </w:rPr>
              <w:t>Limited self-care</w:t>
            </w:r>
          </w:p>
        </w:tc>
      </w:tr>
    </w:tbl>
    <w:p>
      <w:r>
        <w:br w:type="page"/>
      </w:r>
    </w:p>
    <w:p>
      <w:pPr>
        <w:pStyle w:val="Heading1"/>
      </w:pPr>
      <w:r>
        <w:t>6. Study Design &amp; Data Overview</w:t>
      </w:r>
    </w:p>
    <w:p>
      <w:pPr>
        <w:pStyle w:val="Heading2"/>
      </w:pPr>
      <w:r>
        <w:t>Evaluation Scope</w:t>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Component</w:t>
            </w:r>
          </w:p>
        </w:tc>
        <w:tc>
          <w:tcPr>
            <w:tcW w:type="dxa" w:w="1701"/>
            <w:shd w:fill="1E40AF"/>
          </w:tcPr>
          <w:p>
            <w:pPr>
              <w:jc w:val="center"/>
            </w:pPr>
            <w:r>
              <w:rPr>
                <w:rFonts w:ascii="Arial" w:hAnsi="Arial"/>
                <w:b/>
                <w:color w:val="FFFFFF"/>
                <w:sz w:val="18"/>
              </w:rPr>
              <w:t>Count</w:t>
            </w:r>
          </w:p>
        </w:tc>
        <w:tc>
          <w:tcPr>
            <w:tcW w:type="dxa" w:w="5102"/>
            <w:shd w:fill="1E40AF"/>
          </w:tcPr>
          <w:p>
            <w:pPr>
              <w:jc w:val="center"/>
            </w:pPr>
            <w:r>
              <w:rPr>
                <w:rFonts w:ascii="Arial" w:hAnsi="Arial"/>
                <w:b/>
                <w:color w:val="FFFFFF"/>
                <w:sz w:val="18"/>
              </w:rPr>
              <w:t>Details</w:t>
            </w:r>
          </w:p>
        </w:tc>
      </w:tr>
      <w:tr>
        <w:tc>
          <w:tcPr>
            <w:tcW w:type="dxa" w:w="2835"/>
          </w:tcPr>
          <w:p>
            <w:pPr>
              <w:jc w:val="center"/>
            </w:pPr>
            <w:r>
              <w:rPr>
                <w:rFonts w:ascii="Arial" w:hAnsi="Arial"/>
                <w:sz w:val="18"/>
              </w:rPr>
              <w:t>RCC Cases</w:t>
            </w:r>
          </w:p>
        </w:tc>
        <w:tc>
          <w:tcPr>
            <w:tcW w:type="dxa" w:w="1701"/>
          </w:tcPr>
          <w:p>
            <w:pPr>
              <w:jc w:val="center"/>
            </w:pPr>
            <w:r>
              <w:rPr>
                <w:rFonts w:ascii="Arial" w:hAnsi="Arial"/>
                <w:sz w:val="18"/>
              </w:rPr>
              <w:t>69</w:t>
            </w:r>
          </w:p>
        </w:tc>
        <w:tc>
          <w:tcPr>
            <w:tcW w:type="dxa" w:w="5102"/>
          </w:tcPr>
          <w:p>
            <w:pPr>
              <w:jc w:val="center"/>
            </w:pPr>
            <w:r>
              <w:rPr>
                <w:rFonts w:ascii="Arial" w:hAnsi="Arial"/>
                <w:sz w:val="18"/>
              </w:rPr>
              <w:t>Anonymized from German tumor boards</w:t>
            </w:r>
          </w:p>
        </w:tc>
      </w:tr>
      <w:tr>
        <w:tc>
          <w:tcPr>
            <w:tcW w:type="dxa" w:w="2835"/>
            <w:shd w:fill="F0F4FF"/>
          </w:tcPr>
          <w:p>
            <w:pPr>
              <w:jc w:val="center"/>
            </w:pPr>
            <w:r>
              <w:rPr>
                <w:rFonts w:ascii="Arial" w:hAnsi="Arial"/>
                <w:sz w:val="18"/>
              </w:rPr>
              <w:t>LLM Models</w:t>
            </w:r>
          </w:p>
        </w:tc>
        <w:tc>
          <w:tcPr>
            <w:tcW w:type="dxa" w:w="1701"/>
            <w:shd w:fill="F0F4FF"/>
          </w:tcPr>
          <w:p>
            <w:pPr>
              <w:jc w:val="center"/>
            </w:pPr>
            <w:r>
              <w:rPr>
                <w:rFonts w:ascii="Arial" w:hAnsi="Arial"/>
                <w:sz w:val="18"/>
              </w:rPr>
              <w:t>6</w:t>
            </w:r>
          </w:p>
        </w:tc>
        <w:tc>
          <w:tcPr>
            <w:tcW w:type="dxa" w:w="5102"/>
            <w:shd w:fill="F0F4FF"/>
          </w:tcPr>
          <w:p>
            <w:pPr>
              <w:jc w:val="center"/>
            </w:pPr>
            <w:r>
              <w:rPr>
                <w:rFonts w:ascii="Arial" w:hAnsi="Arial"/>
                <w:sz w:val="18"/>
              </w:rPr>
              <w:t>Gemma 3 27B, Gemma 3 4B, MedGemma 27B, Meditron3 7B, OLMo 32B Instruct, OLMo 32B Think</w:t>
            </w:r>
          </w:p>
        </w:tc>
      </w:tr>
      <w:tr>
        <w:tc>
          <w:tcPr>
            <w:tcW w:type="dxa" w:w="2835"/>
          </w:tcPr>
          <w:p>
            <w:pPr>
              <w:jc w:val="center"/>
            </w:pPr>
            <w:r>
              <w:rPr>
                <w:rFonts w:ascii="Arial" w:hAnsi="Arial"/>
                <w:sz w:val="18"/>
              </w:rPr>
              <w:t>AI Judges</w:t>
            </w:r>
          </w:p>
        </w:tc>
        <w:tc>
          <w:tcPr>
            <w:tcW w:type="dxa" w:w="1701"/>
          </w:tcPr>
          <w:p>
            <w:pPr>
              <w:jc w:val="center"/>
            </w:pPr>
            <w:r>
              <w:rPr>
                <w:rFonts w:ascii="Arial" w:hAnsi="Arial"/>
                <w:sz w:val="18"/>
              </w:rPr>
              <w:t>2</w:t>
            </w:r>
          </w:p>
        </w:tc>
        <w:tc>
          <w:tcPr>
            <w:tcW w:type="dxa" w:w="5102"/>
          </w:tcPr>
          <w:p>
            <w:pPr>
              <w:jc w:val="center"/>
            </w:pPr>
            <w:r>
              <w:rPr>
                <w:rFonts w:ascii="Arial" w:hAnsi="Arial"/>
                <w:sz w:val="18"/>
              </w:rPr>
              <w:t>GPT-5.2, MedGemma 27B</w:t>
            </w:r>
          </w:p>
        </w:tc>
      </w:tr>
      <w:tr>
        <w:tc>
          <w:tcPr>
            <w:tcW w:type="dxa" w:w="2835"/>
            <w:shd w:fill="F0F4FF"/>
          </w:tcPr>
          <w:p>
            <w:pPr>
              <w:jc w:val="center"/>
            </w:pPr>
            <w:r>
              <w:rPr>
                <w:rFonts w:ascii="Arial" w:hAnsi="Arial"/>
                <w:sz w:val="18"/>
              </w:rPr>
              <w:t>Total Predictions</w:t>
            </w:r>
          </w:p>
        </w:tc>
        <w:tc>
          <w:tcPr>
            <w:tcW w:type="dxa" w:w="1701"/>
            <w:shd w:fill="F0F4FF"/>
          </w:tcPr>
          <w:p>
            <w:pPr>
              <w:jc w:val="center"/>
            </w:pPr>
            <w:r>
              <w:rPr>
                <w:rFonts w:ascii="Arial" w:hAnsi="Arial"/>
                <w:sz w:val="18"/>
              </w:rPr>
              <w:t>414</w:t>
            </w:r>
          </w:p>
        </w:tc>
        <w:tc>
          <w:tcPr>
            <w:tcW w:type="dxa" w:w="5102"/>
            <w:shd w:fill="F0F4FF"/>
          </w:tcPr>
          <w:p>
            <w:pPr>
              <w:jc w:val="center"/>
            </w:pPr>
            <w:r>
              <w:rPr>
                <w:rFonts w:ascii="Arial" w:hAnsi="Arial"/>
                <w:sz w:val="18"/>
              </w:rPr>
              <w:t>69 cases × 6 models</w:t>
            </w:r>
          </w:p>
        </w:tc>
      </w:tr>
      <w:tr>
        <w:tc>
          <w:tcPr>
            <w:tcW w:type="dxa" w:w="2835"/>
          </w:tcPr>
          <w:p>
            <w:pPr>
              <w:jc w:val="center"/>
            </w:pPr>
            <w:r>
              <w:rPr>
                <w:rFonts w:ascii="Arial" w:hAnsi="Arial"/>
                <w:sz w:val="18"/>
              </w:rPr>
              <w:t>Judge Evaluations</w:t>
            </w:r>
          </w:p>
        </w:tc>
        <w:tc>
          <w:tcPr>
            <w:tcW w:type="dxa" w:w="1701"/>
          </w:tcPr>
          <w:p>
            <w:pPr>
              <w:jc w:val="center"/>
            </w:pPr>
            <w:r>
              <w:rPr>
                <w:rFonts w:ascii="Arial" w:hAnsi="Arial"/>
                <w:sz w:val="18"/>
              </w:rPr>
              <w:t>828</w:t>
            </w:r>
          </w:p>
        </w:tc>
        <w:tc>
          <w:tcPr>
            <w:tcW w:type="dxa" w:w="5102"/>
          </w:tcPr>
          <w:p>
            <w:pPr>
              <w:jc w:val="center"/>
            </w:pPr>
            <w:r>
              <w:rPr>
                <w:rFonts w:ascii="Arial" w:hAnsi="Arial"/>
                <w:sz w:val="18"/>
              </w:rPr>
              <w:t>69 cases × 6 models × 2 judges</w:t>
            </w:r>
          </w:p>
        </w:tc>
      </w:tr>
      <w:tr>
        <w:tc>
          <w:tcPr>
            <w:tcW w:type="dxa" w:w="2835"/>
            <w:shd w:fill="F0F4FF"/>
          </w:tcPr>
          <w:p>
            <w:pPr>
              <w:jc w:val="center"/>
            </w:pPr>
            <w:r>
              <w:rPr>
                <w:rFonts w:ascii="Arial" w:hAnsi="Arial"/>
                <w:sz w:val="18"/>
              </w:rPr>
              <w:t>Uro-Oncologist Model Reviews</w:t>
            </w:r>
          </w:p>
        </w:tc>
        <w:tc>
          <w:tcPr>
            <w:tcW w:type="dxa" w:w="1701"/>
            <w:shd w:fill="F0F4FF"/>
          </w:tcPr>
          <w:p>
            <w:pPr>
              <w:jc w:val="center"/>
            </w:pPr>
            <w:r>
              <w:rPr>
                <w:rFonts w:ascii="Arial" w:hAnsi="Arial"/>
                <w:sz w:val="18"/>
              </w:rPr>
              <w:t>414</w:t>
            </w:r>
          </w:p>
        </w:tc>
        <w:tc>
          <w:tcPr>
            <w:tcW w:type="dxa" w:w="5102"/>
            <w:shd w:fill="F0F4FF"/>
          </w:tcPr>
          <w:p>
            <w:pPr>
              <w:jc w:val="center"/>
            </w:pPr>
            <w:r>
              <w:rPr>
                <w:rFonts w:ascii="Arial" w:hAnsi="Arial"/>
                <w:sz w:val="18"/>
              </w:rPr>
              <w:t>69 cases × 6 models</w:t>
            </w:r>
          </w:p>
        </w:tc>
      </w:tr>
      <w:tr>
        <w:tc>
          <w:tcPr>
            <w:tcW w:type="dxa" w:w="2835"/>
          </w:tcPr>
          <w:p>
            <w:pPr>
              <w:jc w:val="center"/>
            </w:pPr>
            <w:r>
              <w:rPr>
                <w:rFonts w:ascii="Arial" w:hAnsi="Arial"/>
                <w:sz w:val="18"/>
              </w:rPr>
              <w:t>Uro-Oncologist Judge Reviews</w:t>
            </w:r>
          </w:p>
        </w:tc>
        <w:tc>
          <w:tcPr>
            <w:tcW w:type="dxa" w:w="1701"/>
          </w:tcPr>
          <w:p>
            <w:pPr>
              <w:jc w:val="center"/>
            </w:pPr>
            <w:r>
              <w:rPr>
                <w:rFonts w:ascii="Arial" w:hAnsi="Arial"/>
                <w:sz w:val="18"/>
              </w:rPr>
              <w:t>828</w:t>
            </w:r>
          </w:p>
        </w:tc>
        <w:tc>
          <w:tcPr>
            <w:tcW w:type="dxa" w:w="5102"/>
          </w:tcPr>
          <w:p>
            <w:pPr>
              <w:jc w:val="center"/>
            </w:pPr>
            <w:r>
              <w:rPr>
                <w:rFonts w:ascii="Arial" w:hAnsi="Arial"/>
                <w:sz w:val="18"/>
              </w:rPr>
              <w:t>69 cases × 6 models × 2 judges</w:t>
            </w:r>
          </w:p>
        </w:tc>
      </w:tr>
    </w:tbl>
    <w:p>
      <w:pPr>
        <w:pStyle w:val="Heading2"/>
      </w:pPr>
      <w:r>
        <w:t>Uro-Oncologist Review Scales</w:t>
      </w:r>
    </w:p>
    <w:tbl>
      <w:tblPr>
        <w:tblW w:type="auto" w:w="0"/>
        <w:jc w:val="center"/>
        <w:tblLook w:firstColumn="1" w:firstRow="1" w:lastColumn="0" w:lastRow="0" w:noHBand="0" w:noVBand="1" w:val="04A0"/>
      </w:tblPr>
      <w:tblGrid>
        <w:gridCol w:w="2880"/>
        <w:gridCol w:w="2880"/>
        <w:gridCol w:w="2880"/>
      </w:tblGrid>
      <w:tr>
        <w:tc>
          <w:tcPr>
            <w:tcW w:type="dxa" w:w="2551"/>
            <w:shd w:fill="1E40AF"/>
          </w:tcPr>
          <w:p>
            <w:pPr>
              <w:jc w:val="center"/>
            </w:pPr>
            <w:r>
              <w:rPr>
                <w:rFonts w:ascii="Arial" w:hAnsi="Arial"/>
                <w:b/>
                <w:color w:val="FFFFFF"/>
                <w:sz w:val="18"/>
              </w:rPr>
              <w:t>Metric</w:t>
            </w:r>
          </w:p>
        </w:tc>
        <w:tc>
          <w:tcPr>
            <w:tcW w:type="dxa" w:w="1134"/>
            <w:shd w:fill="1E40AF"/>
          </w:tcPr>
          <w:p>
            <w:pPr>
              <w:jc w:val="center"/>
            </w:pPr>
            <w:r>
              <w:rPr>
                <w:rFonts w:ascii="Arial" w:hAnsi="Arial"/>
                <w:b/>
                <w:color w:val="FFFFFF"/>
                <w:sz w:val="18"/>
              </w:rPr>
              <w:t>Scale</w:t>
            </w:r>
          </w:p>
        </w:tc>
        <w:tc>
          <w:tcPr>
            <w:tcW w:type="dxa" w:w="5102"/>
            <w:shd w:fill="1E40AF"/>
          </w:tcPr>
          <w:p>
            <w:pPr>
              <w:jc w:val="center"/>
            </w:pPr>
            <w:r>
              <w:rPr>
                <w:rFonts w:ascii="Arial" w:hAnsi="Arial"/>
                <w:b/>
                <w:color w:val="FFFFFF"/>
                <w:sz w:val="18"/>
              </w:rPr>
              <w:t>Description</w:t>
            </w:r>
          </w:p>
        </w:tc>
      </w:tr>
      <w:tr>
        <w:tc>
          <w:tcPr>
            <w:tcW w:type="dxa" w:w="2551"/>
          </w:tcPr>
          <w:p>
            <w:pPr>
              <w:jc w:val="center"/>
            </w:pPr>
            <w:r>
              <w:rPr>
                <w:rFonts w:ascii="Arial" w:hAnsi="Arial"/>
                <w:sz w:val="18"/>
              </w:rPr>
              <w:t>Therapy Acceptable</w:t>
            </w:r>
          </w:p>
        </w:tc>
        <w:tc>
          <w:tcPr>
            <w:tcW w:type="dxa" w:w="1134"/>
          </w:tcPr>
          <w:p>
            <w:pPr>
              <w:jc w:val="center"/>
            </w:pPr>
            <w:r>
              <w:rPr>
                <w:rFonts w:ascii="Arial" w:hAnsi="Arial"/>
                <w:sz w:val="18"/>
              </w:rPr>
              <w:t>Yes / No</w:t>
            </w:r>
          </w:p>
        </w:tc>
        <w:tc>
          <w:tcPr>
            <w:tcW w:type="dxa" w:w="5102"/>
          </w:tcPr>
          <w:p>
            <w:pPr>
              <w:jc w:val="center"/>
            </w:pPr>
            <w:r>
              <w:rPr>
                <w:rFonts w:ascii="Arial" w:hAnsi="Arial"/>
                <w:sz w:val="18"/>
              </w:rPr>
              <w:t>Would the uro-oncologist accept this therapy for the patient?</w:t>
            </w:r>
          </w:p>
        </w:tc>
      </w:tr>
      <w:tr>
        <w:tc>
          <w:tcPr>
            <w:tcW w:type="dxa" w:w="2551"/>
            <w:shd w:fill="F0F4FF"/>
          </w:tcPr>
          <w:p>
            <w:pPr>
              <w:jc w:val="center"/>
            </w:pPr>
            <w:r>
              <w:rPr>
                <w:rFonts w:ascii="Arial" w:hAnsi="Arial"/>
                <w:sz w:val="18"/>
              </w:rPr>
              <w:t>Recommendation Exact Match</w:t>
            </w:r>
          </w:p>
        </w:tc>
        <w:tc>
          <w:tcPr>
            <w:tcW w:type="dxa" w:w="1134"/>
            <w:shd w:fill="F0F4FF"/>
          </w:tcPr>
          <w:p>
            <w:pPr>
              <w:jc w:val="center"/>
            </w:pPr>
            <w:r>
              <w:rPr>
                <w:rFonts w:ascii="Arial" w:hAnsi="Arial"/>
                <w:sz w:val="18"/>
              </w:rPr>
              <w:t>0–100</w:t>
            </w:r>
          </w:p>
        </w:tc>
        <w:tc>
          <w:tcPr>
            <w:tcW w:type="dxa" w:w="5102"/>
            <w:shd w:fill="F0F4FF"/>
          </w:tcPr>
          <w:p>
            <w:pPr>
              <w:jc w:val="center"/>
            </w:pPr>
            <w:r>
              <w:rPr>
                <w:rFonts w:ascii="Arial" w:hAnsi="Arial"/>
                <w:sz w:val="18"/>
              </w:rPr>
              <w:t>How closely does the prediction match the tumor board recommendation?</w:t>
            </w:r>
          </w:p>
        </w:tc>
      </w:tr>
      <w:tr>
        <w:tc>
          <w:tcPr>
            <w:tcW w:type="dxa" w:w="2551"/>
          </w:tcPr>
          <w:p>
            <w:pPr>
              <w:jc w:val="center"/>
            </w:pPr>
            <w:r>
              <w:rPr>
                <w:rFonts w:ascii="Arial" w:hAnsi="Arial"/>
                <w:sz w:val="18"/>
              </w:rPr>
              <w:t>Recommendation Patient-Oriented</w:t>
            </w:r>
          </w:p>
        </w:tc>
        <w:tc>
          <w:tcPr>
            <w:tcW w:type="dxa" w:w="1134"/>
          </w:tcPr>
          <w:p>
            <w:pPr>
              <w:jc w:val="center"/>
            </w:pPr>
            <w:r>
              <w:rPr>
                <w:rFonts w:ascii="Arial" w:hAnsi="Arial"/>
                <w:sz w:val="18"/>
              </w:rPr>
              <w:t>0–100</w:t>
            </w:r>
          </w:p>
        </w:tc>
        <w:tc>
          <w:tcPr>
            <w:tcW w:type="dxa" w:w="5102"/>
          </w:tcPr>
          <w:p>
            <w:pPr>
              <w:jc w:val="center"/>
            </w:pPr>
            <w:r>
              <w:rPr>
                <w:rFonts w:ascii="Arial" w:hAnsi="Arial"/>
                <w:sz w:val="18"/>
              </w:rPr>
              <w:t>How appropriate is the recommendation for this specific patient?</w:t>
            </w:r>
          </w:p>
        </w:tc>
      </w:tr>
      <w:tr>
        <w:tc>
          <w:tcPr>
            <w:tcW w:type="dxa" w:w="2551"/>
            <w:shd w:fill="F0F4FF"/>
          </w:tcPr>
          <w:p>
            <w:pPr>
              <w:jc w:val="center"/>
            </w:pPr>
            <w:r>
              <w:rPr>
                <w:rFonts w:ascii="Arial" w:hAnsi="Arial"/>
                <w:sz w:val="18"/>
              </w:rPr>
              <w:t>Prediction Quality</w:t>
            </w:r>
          </w:p>
        </w:tc>
        <w:tc>
          <w:tcPr>
            <w:tcW w:type="dxa" w:w="1134"/>
            <w:shd w:fill="F0F4FF"/>
          </w:tcPr>
          <w:p>
            <w:pPr>
              <w:jc w:val="center"/>
            </w:pPr>
            <w:r>
              <w:rPr>
                <w:rFonts w:ascii="Arial" w:hAnsi="Arial"/>
                <w:sz w:val="18"/>
              </w:rPr>
              <w:t>0–9</w:t>
            </w:r>
          </w:p>
        </w:tc>
        <w:tc>
          <w:tcPr>
            <w:tcW w:type="dxa" w:w="5102"/>
            <w:shd w:fill="F0F4FF"/>
          </w:tcPr>
          <w:p>
            <w:pPr>
              <w:jc w:val="center"/>
            </w:pPr>
            <w:r>
              <w:rPr>
                <w:rFonts w:ascii="Arial" w:hAnsi="Arial"/>
                <w:sz w:val="18"/>
              </w:rPr>
              <w:t>Overall quality of the model's prediction and reasoning</w:t>
            </w:r>
          </w:p>
        </w:tc>
      </w:tr>
    </w:tbl>
    <w:p>
      <w:pPr>
        <w:pStyle w:val="Heading2"/>
      </w:pPr>
      <w:r>
        <w:t>Judge Scoring Dimensions</w:t>
      </w:r>
    </w:p>
    <w:tbl>
      <w:tblPr>
        <w:tblW w:type="auto" w:w="0"/>
        <w:jc w:val="center"/>
        <w:tblLook w:firstColumn="1" w:firstRow="1" w:lastColumn="0" w:lastRow="0" w:noHBand="0" w:noVBand="1" w:val="04A0"/>
      </w:tblPr>
      <w:tblGrid>
        <w:gridCol w:w="2880"/>
        <w:gridCol w:w="2880"/>
        <w:gridCol w:w="2880"/>
      </w:tblGrid>
      <w:tr>
        <w:tc>
          <w:tcPr>
            <w:tcW w:type="dxa" w:w="1984"/>
            <w:shd w:fill="1E40AF"/>
          </w:tcPr>
          <w:p>
            <w:pPr>
              <w:jc w:val="center"/>
            </w:pPr>
            <w:r>
              <w:rPr>
                <w:rFonts w:ascii="Arial" w:hAnsi="Arial"/>
                <w:b/>
                <w:color w:val="FFFFFF"/>
                <w:sz w:val="18"/>
              </w:rPr>
              <w:t>Dimension</w:t>
            </w:r>
          </w:p>
        </w:tc>
        <w:tc>
          <w:tcPr>
            <w:tcW w:type="dxa" w:w="1134"/>
            <w:shd w:fill="1E40AF"/>
          </w:tcPr>
          <w:p>
            <w:pPr>
              <w:jc w:val="center"/>
            </w:pPr>
            <w:r>
              <w:rPr>
                <w:rFonts w:ascii="Arial" w:hAnsi="Arial"/>
                <w:b/>
                <w:color w:val="FFFFFF"/>
                <w:sz w:val="18"/>
              </w:rPr>
              <w:t>Scale</w:t>
            </w:r>
          </w:p>
        </w:tc>
        <w:tc>
          <w:tcPr>
            <w:tcW w:type="dxa" w:w="5102"/>
            <w:shd w:fill="1E40AF"/>
          </w:tcPr>
          <w:p>
            <w:pPr>
              <w:jc w:val="center"/>
            </w:pPr>
            <w:r>
              <w:rPr>
                <w:rFonts w:ascii="Arial" w:hAnsi="Arial"/>
                <w:b/>
                <w:color w:val="FFFFFF"/>
                <w:sz w:val="18"/>
              </w:rPr>
              <w:t>Description</w:t>
            </w:r>
          </w:p>
        </w:tc>
      </w:tr>
      <w:tr>
        <w:tc>
          <w:tcPr>
            <w:tcW w:type="dxa" w:w="1984"/>
          </w:tcPr>
          <w:p>
            <w:pPr>
              <w:jc w:val="center"/>
            </w:pPr>
            <w:r>
              <w:rPr>
                <w:rFonts w:ascii="Arial" w:hAnsi="Arial"/>
                <w:sz w:val="18"/>
              </w:rPr>
              <w:t>Semantic Match</w:t>
            </w:r>
          </w:p>
        </w:tc>
        <w:tc>
          <w:tcPr>
            <w:tcW w:type="dxa" w:w="1134"/>
          </w:tcPr>
          <w:p>
            <w:pPr>
              <w:jc w:val="center"/>
            </w:pPr>
            <w:r>
              <w:rPr>
                <w:rFonts w:ascii="Arial" w:hAnsi="Arial"/>
                <w:sz w:val="18"/>
              </w:rPr>
              <w:t>0–1</w:t>
            </w:r>
          </w:p>
        </w:tc>
        <w:tc>
          <w:tcPr>
            <w:tcW w:type="dxa" w:w="5102"/>
          </w:tcPr>
          <w:p>
            <w:pPr>
              <w:jc w:val="center"/>
            </w:pPr>
            <w:r>
              <w:rPr>
                <w:rFonts w:ascii="Arial" w:hAnsi="Arial"/>
                <w:sz w:val="18"/>
              </w:rPr>
              <w:t>Does the prediction match the ground truth semantically?</w:t>
            </w:r>
          </w:p>
        </w:tc>
      </w:tr>
      <w:tr>
        <w:tc>
          <w:tcPr>
            <w:tcW w:type="dxa" w:w="1984"/>
            <w:shd w:fill="F0F4FF"/>
          </w:tcPr>
          <w:p>
            <w:pPr>
              <w:jc w:val="center"/>
            </w:pPr>
            <w:r>
              <w:rPr>
                <w:rFonts w:ascii="Arial" w:hAnsi="Arial"/>
                <w:sz w:val="18"/>
              </w:rPr>
              <w:t>Clinical Score</w:t>
            </w:r>
          </w:p>
        </w:tc>
        <w:tc>
          <w:tcPr>
            <w:tcW w:type="dxa" w:w="1134"/>
            <w:shd w:fill="F0F4FF"/>
          </w:tcPr>
          <w:p>
            <w:pPr>
              <w:jc w:val="center"/>
            </w:pPr>
            <w:r>
              <w:rPr>
                <w:rFonts w:ascii="Arial" w:hAnsi="Arial"/>
                <w:sz w:val="18"/>
              </w:rPr>
              <w:t>0–1</w:t>
            </w:r>
          </w:p>
        </w:tc>
        <w:tc>
          <w:tcPr>
            <w:tcW w:type="dxa" w:w="5102"/>
            <w:shd w:fill="F0F4FF"/>
          </w:tcPr>
          <w:p>
            <w:pPr>
              <w:jc w:val="center"/>
            </w:pPr>
            <w:r>
              <w:rPr>
                <w:rFonts w:ascii="Arial" w:hAnsi="Arial"/>
                <w:sz w:val="18"/>
              </w:rPr>
              <w:t>Is the therapy clinically appropriate regardless of exact match?</w:t>
            </w:r>
          </w:p>
        </w:tc>
      </w:tr>
      <w:tr>
        <w:tc>
          <w:tcPr>
            <w:tcW w:type="dxa" w:w="1984"/>
          </w:tcPr>
          <w:p>
            <w:pPr>
              <w:jc w:val="center"/>
            </w:pPr>
            <w:r>
              <w:rPr>
                <w:rFonts w:ascii="Arial" w:hAnsi="Arial"/>
                <w:sz w:val="18"/>
              </w:rPr>
              <w:t>Reasoning Quality</w:t>
            </w:r>
          </w:p>
        </w:tc>
        <w:tc>
          <w:tcPr>
            <w:tcW w:type="dxa" w:w="1134"/>
          </w:tcPr>
          <w:p>
            <w:pPr>
              <w:jc w:val="center"/>
            </w:pPr>
            <w:r>
              <w:rPr>
                <w:rFonts w:ascii="Arial" w:hAnsi="Arial"/>
                <w:sz w:val="18"/>
              </w:rPr>
              <w:t>0–1</w:t>
            </w:r>
          </w:p>
        </w:tc>
        <w:tc>
          <w:tcPr>
            <w:tcW w:type="dxa" w:w="5102"/>
          </w:tcPr>
          <w:p>
            <w:pPr>
              <w:jc w:val="center"/>
            </w:pPr>
            <w:r>
              <w:rPr>
                <w:rFonts w:ascii="Arial" w:hAnsi="Arial"/>
                <w:sz w:val="18"/>
              </w:rPr>
              <w:t>Quality and correctness of the model's clinical reasoning</w:t>
            </w:r>
          </w:p>
        </w:tc>
      </w:tr>
      <w:tr>
        <w:tc>
          <w:tcPr>
            <w:tcW w:type="dxa" w:w="1984"/>
            <w:shd w:fill="F0F4FF"/>
          </w:tcPr>
          <w:p>
            <w:pPr>
              <w:jc w:val="center"/>
            </w:pPr>
            <w:r>
              <w:rPr>
                <w:rFonts w:ascii="Arial" w:hAnsi="Arial"/>
                <w:sz w:val="18"/>
              </w:rPr>
              <w:t>Overall Score</w:t>
            </w:r>
          </w:p>
        </w:tc>
        <w:tc>
          <w:tcPr>
            <w:tcW w:type="dxa" w:w="1134"/>
            <w:shd w:fill="F0F4FF"/>
          </w:tcPr>
          <w:p>
            <w:pPr>
              <w:jc w:val="center"/>
            </w:pPr>
            <w:r>
              <w:rPr>
                <w:rFonts w:ascii="Arial" w:hAnsi="Arial"/>
                <w:sz w:val="18"/>
              </w:rPr>
              <w:t>0–1</w:t>
            </w:r>
          </w:p>
        </w:tc>
        <w:tc>
          <w:tcPr>
            <w:tcW w:type="dxa" w:w="5102"/>
            <w:shd w:fill="F0F4FF"/>
          </w:tcPr>
          <w:p>
            <w:pPr>
              <w:jc w:val="center"/>
            </w:pPr>
            <w:r>
              <w:rPr>
                <w:rFonts w:ascii="Arial" w:hAnsi="Arial"/>
                <w:sz w:val="18"/>
              </w:rPr>
              <w:t>Weighted composite of all dimensions</w:t>
            </w:r>
          </w:p>
        </w:tc>
      </w:tr>
      <w:tr>
        <w:tc>
          <w:tcPr>
            <w:tcW w:type="dxa" w:w="1984"/>
          </w:tcPr>
          <w:p>
            <w:pPr>
              <w:jc w:val="center"/>
            </w:pPr>
            <w:r>
              <w:rPr>
                <w:rFonts w:ascii="Arial" w:hAnsi="Arial"/>
                <w:sz w:val="18"/>
              </w:rPr>
              <w:t>Is Correct</w:t>
            </w:r>
          </w:p>
        </w:tc>
        <w:tc>
          <w:tcPr>
            <w:tcW w:type="dxa" w:w="1134"/>
          </w:tcPr>
          <w:p>
            <w:pPr>
              <w:jc w:val="center"/>
            </w:pPr>
            <w:r>
              <w:rPr>
                <w:rFonts w:ascii="Arial" w:hAnsi="Arial"/>
                <w:sz w:val="18"/>
              </w:rPr>
              <w:t>True / False</w:t>
            </w:r>
          </w:p>
        </w:tc>
        <w:tc>
          <w:tcPr>
            <w:tcW w:type="dxa" w:w="5102"/>
          </w:tcPr>
          <w:p>
            <w:pPr>
              <w:jc w:val="center"/>
            </w:pPr>
            <w:r>
              <w:rPr>
                <w:rFonts w:ascii="Arial" w:hAnsi="Arial"/>
                <w:sz w:val="18"/>
              </w:rPr>
              <w:t>Binary verdict: does the prediction match ground truth?</w:t>
            </w:r>
          </w:p>
        </w:tc>
      </w:tr>
    </w:tbl>
    <w:p>
      <w:r>
        <w:br w:type="page"/>
      </w:r>
    </w:p>
    <w:p>
      <w:pPr>
        <w:pStyle w:val="Heading1"/>
      </w:pPr>
      <w:r>
        <w:t>7. Model Performance — Automated Evaluation</w:t>
      </w:r>
    </w:p>
    <w:p>
      <w:r>
        <w:t>All 414 predictions across 69 cases were evaluated by both AI judges. This section shows the automated metrics before any uro-oncologist validation.</w:t>
      </w:r>
    </w:p>
    <w:p>
      <w:pPr>
        <w:jc w:val="center"/>
      </w:pPr>
      <w:r>
        <w:drawing>
          <wp:inline xmlns:a="http://schemas.openxmlformats.org/drawingml/2006/main" xmlns:pic="http://schemas.openxmlformats.org/drawingml/2006/picture">
            <wp:extent cx="5486400" cy="1786538"/>
            <wp:docPr id="2" name="Picture 2"/>
            <wp:cNvGraphicFramePr>
              <a:graphicFrameLocks noChangeAspect="1"/>
            </wp:cNvGraphicFramePr>
            <a:graphic>
              <a:graphicData uri="http://schemas.openxmlformats.org/drawingml/2006/picture">
                <pic:pic>
                  <pic:nvPicPr>
                    <pic:cNvPr id="0" name="full_model_performance.png"/>
                    <pic:cNvPicPr/>
                  </pic:nvPicPr>
                  <pic:blipFill>
                    <a:blip r:embed="rId10"/>
                    <a:stretch>
                      <a:fillRect/>
                    </a:stretch>
                  </pic:blipFill>
                  <pic:spPr>
                    <a:xfrm>
                      <a:off x="0" y="0"/>
                      <a:ext cx="5486400" cy="1786538"/>
                    </a:xfrm>
                    <a:prstGeom prst="rect"/>
                  </pic:spPr>
                </pic:pic>
              </a:graphicData>
            </a:graphic>
          </wp:inline>
        </w:drawing>
      </w:r>
    </w:p>
    <w:p>
      <w:pPr>
        <w:pStyle w:val="Heading2"/>
      </w:pPr>
      <w:r>
        <w:t>Automated Metrics Summary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E40AF"/>
          </w:tcPr>
          <w:p>
            <w:pPr>
              <w:jc w:val="center"/>
            </w:pPr>
            <w:r>
              <w:rPr>
                <w:rFonts w:ascii="Arial" w:hAnsi="Arial"/>
                <w:b/>
                <w:color w:val="FFFFFF"/>
                <w:sz w:val="18"/>
              </w:rPr>
              <w:t>Model</w:t>
            </w:r>
          </w:p>
        </w:tc>
        <w:tc>
          <w:tcPr>
            <w:tcW w:type="dxa" w:w="1020"/>
            <w:shd w:fill="1E40AF"/>
          </w:tcPr>
          <w:p>
            <w:pPr>
              <w:jc w:val="center"/>
            </w:pPr>
            <w:r>
              <w:rPr>
                <w:rFonts w:ascii="Arial" w:hAnsi="Arial"/>
                <w:b/>
                <w:color w:val="FFFFFF"/>
                <w:sz w:val="18"/>
              </w:rPr>
              <w:t>Cases</w:t>
            </w:r>
          </w:p>
        </w:tc>
        <w:tc>
          <w:tcPr>
            <w:tcW w:type="dxa" w:w="1417"/>
            <w:shd w:fill="1E40AF"/>
          </w:tcPr>
          <w:p>
            <w:pPr>
              <w:jc w:val="center"/>
            </w:pPr>
            <w:r>
              <w:rPr>
                <w:rFonts w:ascii="Arial" w:hAnsi="Arial"/>
                <w:b/>
                <w:color w:val="FFFFFF"/>
                <w:sz w:val="18"/>
              </w:rPr>
              <w:t>Met. Detect.</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Judge Acc.</w:t>
            </w:r>
          </w:p>
        </w:tc>
        <w:tc>
          <w:tcPr>
            <w:tcW w:type="dxa" w:w="1247"/>
            <w:shd w:fill="1E40AF"/>
          </w:tcPr>
          <w:p>
            <w:pPr>
              <w:jc w:val="center"/>
            </w:pPr>
            <w:r>
              <w:rPr>
                <w:rFonts w:ascii="Arial" w:hAnsi="Arial"/>
                <w:b/>
                <w:color w:val="FFFFFF"/>
                <w:sz w:val="18"/>
              </w:rPr>
              <w:t>Avg Score</w:t>
            </w:r>
          </w:p>
        </w:tc>
      </w:tr>
      <w:tr>
        <w:tc>
          <w:tcPr>
            <w:tcW w:type="dxa" w:w="1984"/>
          </w:tcPr>
          <w:p>
            <w:pPr>
              <w:jc w:val="center"/>
            </w:pPr>
            <w:r>
              <w:rPr>
                <w:rFonts w:ascii="Arial" w:hAnsi="Arial"/>
                <w:sz w:val="18"/>
              </w:rPr>
              <w:t>MedGemma 27B</w:t>
            </w:r>
          </w:p>
        </w:tc>
        <w:tc>
          <w:tcPr>
            <w:tcW w:type="dxa" w:w="1020"/>
          </w:tcPr>
          <w:p>
            <w:pPr>
              <w:jc w:val="center"/>
            </w:pPr>
            <w:r>
              <w:rPr>
                <w:rFonts w:ascii="Arial" w:hAnsi="Arial"/>
                <w:sz w:val="18"/>
              </w:rPr>
              <w:t>69</w:t>
            </w:r>
          </w:p>
        </w:tc>
        <w:tc>
          <w:tcPr>
            <w:tcW w:type="dxa" w:w="1417"/>
          </w:tcPr>
          <w:p>
            <w:pPr>
              <w:jc w:val="center"/>
            </w:pPr>
            <w:r>
              <w:rPr>
                <w:rFonts w:ascii="Arial" w:hAnsi="Arial"/>
                <w:sz w:val="18"/>
              </w:rPr>
              <w:t>65.2%</w:t>
            </w:r>
          </w:p>
        </w:tc>
        <w:tc>
          <w:tcPr>
            <w:tcW w:type="dxa" w:w="1417"/>
          </w:tcPr>
          <w:p>
            <w:pPr>
              <w:jc w:val="center"/>
            </w:pPr>
            <w:r>
              <w:rPr>
                <w:rFonts w:ascii="Arial" w:hAnsi="Arial"/>
                <w:sz w:val="18"/>
              </w:rPr>
              <w:t>46.4%</w:t>
            </w:r>
          </w:p>
        </w:tc>
        <w:tc>
          <w:tcPr>
            <w:tcW w:type="dxa" w:w="1417"/>
          </w:tcPr>
          <w:p>
            <w:pPr>
              <w:jc w:val="center"/>
            </w:pPr>
            <w:r>
              <w:rPr>
                <w:rFonts w:ascii="Arial" w:hAnsi="Arial"/>
                <w:sz w:val="18"/>
              </w:rPr>
              <w:t>65.2%</w:t>
            </w:r>
          </w:p>
        </w:tc>
        <w:tc>
          <w:tcPr>
            <w:tcW w:type="dxa" w:w="1247"/>
          </w:tcPr>
          <w:p>
            <w:pPr>
              <w:jc w:val="center"/>
            </w:pPr>
            <w:r>
              <w:rPr>
                <w:rFonts w:ascii="Arial" w:hAnsi="Arial"/>
                <w:sz w:val="18"/>
              </w:rPr>
              <w:t>0.76</w:t>
            </w:r>
          </w:p>
        </w:tc>
      </w:tr>
      <w:tr>
        <w:tc>
          <w:tcPr>
            <w:tcW w:type="dxa" w:w="1984"/>
            <w:shd w:fill="F0F4FF"/>
          </w:tcPr>
          <w:p>
            <w:pPr>
              <w:jc w:val="center"/>
            </w:pPr>
            <w:r>
              <w:rPr>
                <w:rFonts w:ascii="Arial" w:hAnsi="Arial"/>
                <w:sz w:val="18"/>
              </w:rPr>
              <w:t>OLMo 32B Think</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65.2%</w:t>
            </w:r>
          </w:p>
        </w:tc>
        <w:tc>
          <w:tcPr>
            <w:tcW w:type="dxa" w:w="1417"/>
            <w:shd w:fill="F0F4FF"/>
          </w:tcPr>
          <w:p>
            <w:pPr>
              <w:jc w:val="center"/>
            </w:pPr>
            <w:r>
              <w:rPr>
                <w:rFonts w:ascii="Arial" w:hAnsi="Arial"/>
                <w:sz w:val="18"/>
              </w:rPr>
              <w:t>33.3%</w:t>
            </w:r>
          </w:p>
        </w:tc>
        <w:tc>
          <w:tcPr>
            <w:tcW w:type="dxa" w:w="1417"/>
            <w:shd w:fill="F0F4FF"/>
          </w:tcPr>
          <w:p>
            <w:pPr>
              <w:jc w:val="center"/>
            </w:pPr>
            <w:r>
              <w:rPr>
                <w:rFonts w:ascii="Arial" w:hAnsi="Arial"/>
                <w:sz w:val="18"/>
              </w:rPr>
              <w:t>62.3%</w:t>
            </w:r>
          </w:p>
        </w:tc>
        <w:tc>
          <w:tcPr>
            <w:tcW w:type="dxa" w:w="1247"/>
            <w:shd w:fill="F0F4FF"/>
          </w:tcPr>
          <w:p>
            <w:pPr>
              <w:jc w:val="center"/>
            </w:pPr>
            <w:r>
              <w:rPr>
                <w:rFonts w:ascii="Arial" w:hAnsi="Arial"/>
                <w:sz w:val="18"/>
              </w:rPr>
              <w:t>0.72</w:t>
            </w:r>
          </w:p>
        </w:tc>
      </w:tr>
      <w:tr>
        <w:tc>
          <w:tcPr>
            <w:tcW w:type="dxa" w:w="1984"/>
          </w:tcPr>
          <w:p>
            <w:pPr>
              <w:jc w:val="center"/>
            </w:pPr>
            <w:r>
              <w:rPr>
                <w:rFonts w:ascii="Arial" w:hAnsi="Arial"/>
                <w:sz w:val="18"/>
              </w:rPr>
              <w:t>Gemma 3 27B</w:t>
            </w:r>
          </w:p>
        </w:tc>
        <w:tc>
          <w:tcPr>
            <w:tcW w:type="dxa" w:w="1020"/>
          </w:tcPr>
          <w:p>
            <w:pPr>
              <w:jc w:val="center"/>
            </w:pPr>
            <w:r>
              <w:rPr>
                <w:rFonts w:ascii="Arial" w:hAnsi="Arial"/>
                <w:sz w:val="18"/>
              </w:rPr>
              <w:t>69</w:t>
            </w:r>
          </w:p>
        </w:tc>
        <w:tc>
          <w:tcPr>
            <w:tcW w:type="dxa" w:w="1417"/>
          </w:tcPr>
          <w:p>
            <w:pPr>
              <w:jc w:val="center"/>
            </w:pPr>
            <w:r>
              <w:rPr>
                <w:rFonts w:ascii="Arial" w:hAnsi="Arial"/>
                <w:sz w:val="18"/>
              </w:rPr>
              <w:t>65.2%</w:t>
            </w:r>
          </w:p>
        </w:tc>
        <w:tc>
          <w:tcPr>
            <w:tcW w:type="dxa" w:w="1417"/>
          </w:tcPr>
          <w:p>
            <w:pPr>
              <w:jc w:val="center"/>
            </w:pPr>
            <w:r>
              <w:rPr>
                <w:rFonts w:ascii="Arial" w:hAnsi="Arial"/>
                <w:sz w:val="18"/>
              </w:rPr>
              <w:t>36.2%</w:t>
            </w:r>
          </w:p>
        </w:tc>
        <w:tc>
          <w:tcPr>
            <w:tcW w:type="dxa" w:w="1417"/>
          </w:tcPr>
          <w:p>
            <w:pPr>
              <w:jc w:val="center"/>
            </w:pPr>
            <w:r>
              <w:rPr>
                <w:rFonts w:ascii="Arial" w:hAnsi="Arial"/>
                <w:sz w:val="18"/>
              </w:rPr>
              <w:t>59.4%</w:t>
            </w:r>
          </w:p>
        </w:tc>
        <w:tc>
          <w:tcPr>
            <w:tcW w:type="dxa" w:w="1247"/>
          </w:tcPr>
          <w:p>
            <w:pPr>
              <w:jc w:val="center"/>
            </w:pPr>
            <w:r>
              <w:rPr>
                <w:rFonts w:ascii="Arial" w:hAnsi="Arial"/>
                <w:sz w:val="18"/>
              </w:rPr>
              <w:t>0.71</w:t>
            </w:r>
          </w:p>
        </w:tc>
      </w:tr>
      <w:tr>
        <w:tc>
          <w:tcPr>
            <w:tcW w:type="dxa" w:w="1984"/>
            <w:shd w:fill="F0F4FF"/>
          </w:tcPr>
          <w:p>
            <w:pPr>
              <w:jc w:val="center"/>
            </w:pPr>
            <w:r>
              <w:rPr>
                <w:rFonts w:ascii="Arial" w:hAnsi="Arial"/>
                <w:sz w:val="18"/>
              </w:rPr>
              <w:t>OLMo 32B Instruct</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63.8%</w:t>
            </w:r>
          </w:p>
        </w:tc>
        <w:tc>
          <w:tcPr>
            <w:tcW w:type="dxa" w:w="1417"/>
            <w:shd w:fill="F0F4FF"/>
          </w:tcPr>
          <w:p>
            <w:pPr>
              <w:jc w:val="center"/>
            </w:pPr>
            <w:r>
              <w:rPr>
                <w:rFonts w:ascii="Arial" w:hAnsi="Arial"/>
                <w:sz w:val="18"/>
              </w:rPr>
              <w:t>30.4%</w:t>
            </w:r>
          </w:p>
        </w:tc>
        <w:tc>
          <w:tcPr>
            <w:tcW w:type="dxa" w:w="1417"/>
            <w:shd w:fill="F0F4FF"/>
          </w:tcPr>
          <w:p>
            <w:pPr>
              <w:jc w:val="center"/>
            </w:pPr>
            <w:r>
              <w:rPr>
                <w:rFonts w:ascii="Arial" w:hAnsi="Arial"/>
                <w:sz w:val="18"/>
              </w:rPr>
              <w:t>53.6%</w:t>
            </w:r>
          </w:p>
        </w:tc>
        <w:tc>
          <w:tcPr>
            <w:tcW w:type="dxa" w:w="1247"/>
            <w:shd w:fill="F0F4FF"/>
          </w:tcPr>
          <w:p>
            <w:pPr>
              <w:jc w:val="center"/>
            </w:pPr>
            <w:r>
              <w:rPr>
                <w:rFonts w:ascii="Arial" w:hAnsi="Arial"/>
                <w:sz w:val="18"/>
              </w:rPr>
              <w:t>0.68</w:t>
            </w:r>
          </w:p>
        </w:tc>
      </w:tr>
      <w:tr>
        <w:tc>
          <w:tcPr>
            <w:tcW w:type="dxa" w:w="1984"/>
          </w:tcPr>
          <w:p>
            <w:pPr>
              <w:jc w:val="center"/>
            </w:pPr>
            <w:r>
              <w:rPr>
                <w:rFonts w:ascii="Arial" w:hAnsi="Arial"/>
                <w:sz w:val="18"/>
              </w:rPr>
              <w:t>Gemma 3 4B</w:t>
            </w:r>
          </w:p>
        </w:tc>
        <w:tc>
          <w:tcPr>
            <w:tcW w:type="dxa" w:w="1020"/>
          </w:tcPr>
          <w:p>
            <w:pPr>
              <w:jc w:val="center"/>
            </w:pPr>
            <w:r>
              <w:rPr>
                <w:rFonts w:ascii="Arial" w:hAnsi="Arial"/>
                <w:sz w:val="18"/>
              </w:rPr>
              <w:t>69</w:t>
            </w:r>
          </w:p>
        </w:tc>
        <w:tc>
          <w:tcPr>
            <w:tcW w:type="dxa" w:w="1417"/>
          </w:tcPr>
          <w:p>
            <w:pPr>
              <w:jc w:val="center"/>
            </w:pPr>
            <w:r>
              <w:rPr>
                <w:rFonts w:ascii="Arial" w:hAnsi="Arial"/>
                <w:sz w:val="18"/>
              </w:rPr>
              <w:t>59.4%</w:t>
            </w:r>
          </w:p>
        </w:tc>
        <w:tc>
          <w:tcPr>
            <w:tcW w:type="dxa" w:w="1417"/>
          </w:tcPr>
          <w:p>
            <w:pPr>
              <w:jc w:val="center"/>
            </w:pPr>
            <w:r>
              <w:rPr>
                <w:rFonts w:ascii="Arial" w:hAnsi="Arial"/>
                <w:sz w:val="18"/>
              </w:rPr>
              <w:t>29.0%</w:t>
            </w:r>
          </w:p>
        </w:tc>
        <w:tc>
          <w:tcPr>
            <w:tcW w:type="dxa" w:w="1417"/>
          </w:tcPr>
          <w:p>
            <w:pPr>
              <w:jc w:val="center"/>
            </w:pPr>
            <w:r>
              <w:rPr>
                <w:rFonts w:ascii="Arial" w:hAnsi="Arial"/>
                <w:sz w:val="18"/>
              </w:rPr>
              <w:t>43.5%</w:t>
            </w:r>
          </w:p>
        </w:tc>
        <w:tc>
          <w:tcPr>
            <w:tcW w:type="dxa" w:w="1247"/>
          </w:tcPr>
          <w:p>
            <w:pPr>
              <w:jc w:val="center"/>
            </w:pPr>
            <w:r>
              <w:rPr>
                <w:rFonts w:ascii="Arial" w:hAnsi="Arial"/>
                <w:sz w:val="18"/>
              </w:rPr>
              <w:t>0.57</w:t>
            </w:r>
          </w:p>
        </w:tc>
      </w:tr>
      <w:tr>
        <w:tc>
          <w:tcPr>
            <w:tcW w:type="dxa" w:w="1984"/>
            <w:shd w:fill="F0F4FF"/>
          </w:tcPr>
          <w:p>
            <w:pPr>
              <w:jc w:val="center"/>
            </w:pPr>
            <w:r>
              <w:rPr>
                <w:rFonts w:ascii="Arial" w:hAnsi="Arial"/>
                <w:sz w:val="18"/>
              </w:rPr>
              <w:t>Meditron3 7B</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62.3%</w:t>
            </w:r>
          </w:p>
        </w:tc>
        <w:tc>
          <w:tcPr>
            <w:tcW w:type="dxa" w:w="1417"/>
            <w:shd w:fill="F0F4FF"/>
          </w:tcPr>
          <w:p>
            <w:pPr>
              <w:jc w:val="center"/>
            </w:pPr>
            <w:r>
              <w:rPr>
                <w:rFonts w:ascii="Arial" w:hAnsi="Arial"/>
                <w:sz w:val="18"/>
              </w:rPr>
              <w:t>10.1%</w:t>
            </w:r>
          </w:p>
        </w:tc>
        <w:tc>
          <w:tcPr>
            <w:tcW w:type="dxa" w:w="1417"/>
            <w:shd w:fill="F0F4FF"/>
          </w:tcPr>
          <w:p>
            <w:pPr>
              <w:jc w:val="center"/>
            </w:pPr>
            <w:r>
              <w:rPr>
                <w:rFonts w:ascii="Arial" w:hAnsi="Arial"/>
                <w:sz w:val="18"/>
              </w:rPr>
              <w:t>42.0%</w:t>
            </w:r>
          </w:p>
        </w:tc>
        <w:tc>
          <w:tcPr>
            <w:tcW w:type="dxa" w:w="1247"/>
            <w:shd w:fill="F0F4FF"/>
          </w:tcPr>
          <w:p>
            <w:pPr>
              <w:jc w:val="center"/>
            </w:pPr>
            <w:r>
              <w:rPr>
                <w:rFonts w:ascii="Arial" w:hAnsi="Arial"/>
                <w:sz w:val="18"/>
              </w:rPr>
              <w:t>0.51</w:t>
            </w:r>
          </w:p>
        </w:tc>
      </w:tr>
    </w:tbl>
    <w:p>
      <w:r>
        <w:t>Overall: 63.5% of predictions correctly identified metastatic status. 30.9% matched the tumor board therapy exactly, while 58.7% were classified as clinically acceptable (broader than exact match).</w:t>
      </w:r>
    </w:p>
    <w:p>
      <w:pPr>
        <w:pStyle w:val="Heading2"/>
      </w:pPr>
      <w:r>
        <w:t>Detailed Judge Scores</w:t>
      </w:r>
    </w:p>
    <w:tbl>
      <w:tblPr>
        <w:tblW w:type="auto" w:w="0"/>
        <w:jc w:val="center"/>
        <w:tblLook w:firstColumn="1" w:firstRow="1" w:lastColumn="0" w:lastRow="0" w:noHBand="0" w:noVBand="1" w:val="04A0"/>
      </w:tblPr>
      <w:tblGrid>
        <w:gridCol w:w="1728"/>
        <w:gridCol w:w="1728"/>
        <w:gridCol w:w="1728"/>
        <w:gridCol w:w="1728"/>
        <w:gridCol w:w="1728"/>
      </w:tblGrid>
      <w:tr>
        <w:tc>
          <w:tcPr>
            <w:tcW w:type="dxa" w:w="2268"/>
            <w:shd w:fill="1E40AF"/>
          </w:tcPr>
          <w:p>
            <w:pPr>
              <w:jc w:val="center"/>
            </w:pPr>
            <w:r>
              <w:rPr>
                <w:rFonts w:ascii="Arial" w:hAnsi="Arial"/>
                <w:b/>
                <w:color w:val="FFFFFF"/>
                <w:sz w:val="18"/>
              </w:rPr>
              <w:t>Model</w:t>
            </w:r>
          </w:p>
        </w:tc>
        <w:tc>
          <w:tcPr>
            <w:tcW w:type="dxa" w:w="1417"/>
            <w:shd w:fill="1E40AF"/>
          </w:tcPr>
          <w:p>
            <w:pPr>
              <w:jc w:val="center"/>
            </w:pPr>
            <w:r>
              <w:rPr>
                <w:rFonts w:ascii="Arial" w:hAnsi="Arial"/>
                <w:b/>
                <w:color w:val="FFFFFF"/>
                <w:sz w:val="18"/>
              </w:rPr>
              <w:t>Semantic</w:t>
            </w:r>
          </w:p>
        </w:tc>
        <w:tc>
          <w:tcPr>
            <w:tcW w:type="dxa" w:w="1417"/>
            <w:shd w:fill="1E40AF"/>
          </w:tcPr>
          <w:p>
            <w:pPr>
              <w:jc w:val="center"/>
            </w:pPr>
            <w:r>
              <w:rPr>
                <w:rFonts w:ascii="Arial" w:hAnsi="Arial"/>
                <w:b/>
                <w:color w:val="FFFFFF"/>
                <w:sz w:val="18"/>
              </w:rPr>
              <w:t>Clinical</w:t>
            </w:r>
          </w:p>
        </w:tc>
        <w:tc>
          <w:tcPr>
            <w:tcW w:type="dxa" w:w="1417"/>
            <w:shd w:fill="1E40AF"/>
          </w:tcPr>
          <w:p>
            <w:pPr>
              <w:jc w:val="center"/>
            </w:pPr>
            <w:r>
              <w:rPr>
                <w:rFonts w:ascii="Arial" w:hAnsi="Arial"/>
                <w:b/>
                <w:color w:val="FFFFFF"/>
                <w:sz w:val="18"/>
              </w:rPr>
              <w:t>Reasoning</w:t>
            </w:r>
          </w:p>
        </w:tc>
        <w:tc>
          <w:tcPr>
            <w:tcW w:type="dxa" w:w="1417"/>
            <w:shd w:fill="1E40AF"/>
          </w:tcPr>
          <w:p>
            <w:pPr>
              <w:jc w:val="center"/>
            </w:pPr>
            <w:r>
              <w:rPr>
                <w:rFonts w:ascii="Arial" w:hAnsi="Arial"/>
                <w:b/>
                <w:color w:val="FFFFFF"/>
                <w:sz w:val="18"/>
              </w:rPr>
              <w:t>Overall</w:t>
            </w:r>
          </w:p>
        </w:tc>
      </w:tr>
      <w:tr>
        <w:tc>
          <w:tcPr>
            <w:tcW w:type="dxa" w:w="2268"/>
          </w:tcPr>
          <w:p>
            <w:pPr>
              <w:jc w:val="center"/>
            </w:pPr>
            <w:r>
              <w:rPr>
                <w:rFonts w:ascii="Arial" w:hAnsi="Arial"/>
                <w:sz w:val="18"/>
              </w:rPr>
              <w:t>MedGemma 27B</w:t>
            </w:r>
          </w:p>
        </w:tc>
        <w:tc>
          <w:tcPr>
            <w:tcW w:type="dxa" w:w="1417"/>
          </w:tcPr>
          <w:p>
            <w:pPr>
              <w:jc w:val="center"/>
            </w:pPr>
            <w:r>
              <w:rPr>
                <w:rFonts w:ascii="Arial" w:hAnsi="Arial"/>
                <w:sz w:val="18"/>
              </w:rPr>
              <w:t>0.75</w:t>
            </w:r>
          </w:p>
        </w:tc>
        <w:tc>
          <w:tcPr>
            <w:tcW w:type="dxa" w:w="1417"/>
          </w:tcPr>
          <w:p>
            <w:pPr>
              <w:jc w:val="center"/>
            </w:pPr>
            <w:r>
              <w:rPr>
                <w:rFonts w:ascii="Arial" w:hAnsi="Arial"/>
                <w:sz w:val="18"/>
              </w:rPr>
              <w:t>0.81</w:t>
            </w:r>
          </w:p>
        </w:tc>
        <w:tc>
          <w:tcPr>
            <w:tcW w:type="dxa" w:w="1417"/>
          </w:tcPr>
          <w:p>
            <w:pPr>
              <w:jc w:val="center"/>
            </w:pPr>
            <w:r>
              <w:rPr>
                <w:rFonts w:ascii="Arial" w:hAnsi="Arial"/>
                <w:sz w:val="18"/>
              </w:rPr>
              <w:t>0.64</w:t>
            </w:r>
          </w:p>
        </w:tc>
        <w:tc>
          <w:tcPr>
            <w:tcW w:type="dxa" w:w="1417"/>
          </w:tcPr>
          <w:p>
            <w:pPr>
              <w:jc w:val="center"/>
            </w:pPr>
            <w:r>
              <w:rPr>
                <w:rFonts w:ascii="Arial" w:hAnsi="Arial"/>
                <w:sz w:val="18"/>
              </w:rPr>
              <w:t>0.76</w:t>
            </w:r>
          </w:p>
        </w:tc>
      </w:tr>
      <w:tr>
        <w:tc>
          <w:tcPr>
            <w:tcW w:type="dxa" w:w="2268"/>
            <w:shd w:fill="F0F4FF"/>
          </w:tcPr>
          <w:p>
            <w:pPr>
              <w:jc w:val="center"/>
            </w:pPr>
            <w:r>
              <w:rPr>
                <w:rFonts w:ascii="Arial" w:hAnsi="Arial"/>
                <w:sz w:val="18"/>
              </w:rPr>
              <w:t>OLMo 32B Think</w:t>
            </w:r>
          </w:p>
        </w:tc>
        <w:tc>
          <w:tcPr>
            <w:tcW w:type="dxa" w:w="1417"/>
            <w:shd w:fill="F0F4FF"/>
          </w:tcPr>
          <w:p>
            <w:pPr>
              <w:jc w:val="center"/>
            </w:pPr>
            <w:r>
              <w:rPr>
                <w:rFonts w:ascii="Arial" w:hAnsi="Arial"/>
                <w:sz w:val="18"/>
              </w:rPr>
              <w:t>0.69</w:t>
            </w:r>
          </w:p>
        </w:tc>
        <w:tc>
          <w:tcPr>
            <w:tcW w:type="dxa" w:w="1417"/>
            <w:shd w:fill="F0F4FF"/>
          </w:tcPr>
          <w:p>
            <w:pPr>
              <w:jc w:val="center"/>
            </w:pPr>
            <w:r>
              <w:rPr>
                <w:rFonts w:ascii="Arial" w:hAnsi="Arial"/>
                <w:sz w:val="18"/>
              </w:rPr>
              <w:t>0.79</w:t>
            </w:r>
          </w:p>
        </w:tc>
        <w:tc>
          <w:tcPr>
            <w:tcW w:type="dxa" w:w="1417"/>
            <w:shd w:fill="F0F4FF"/>
          </w:tcPr>
          <w:p>
            <w:pPr>
              <w:jc w:val="center"/>
            </w:pPr>
            <w:r>
              <w:rPr>
                <w:rFonts w:ascii="Arial" w:hAnsi="Arial"/>
                <w:sz w:val="18"/>
              </w:rPr>
              <w:t>0.61</w:t>
            </w:r>
          </w:p>
        </w:tc>
        <w:tc>
          <w:tcPr>
            <w:tcW w:type="dxa" w:w="1417"/>
            <w:shd w:fill="F0F4FF"/>
          </w:tcPr>
          <w:p>
            <w:pPr>
              <w:jc w:val="center"/>
            </w:pPr>
            <w:r>
              <w:rPr>
                <w:rFonts w:ascii="Arial" w:hAnsi="Arial"/>
                <w:sz w:val="18"/>
              </w:rPr>
              <w:t>0.72</w:t>
            </w:r>
          </w:p>
        </w:tc>
      </w:tr>
      <w:tr>
        <w:tc>
          <w:tcPr>
            <w:tcW w:type="dxa" w:w="2268"/>
          </w:tcPr>
          <w:p>
            <w:pPr>
              <w:jc w:val="center"/>
            </w:pPr>
            <w:r>
              <w:rPr>
                <w:rFonts w:ascii="Arial" w:hAnsi="Arial"/>
                <w:sz w:val="18"/>
              </w:rPr>
              <w:t>Gemma 3 27B</w:t>
            </w:r>
          </w:p>
        </w:tc>
        <w:tc>
          <w:tcPr>
            <w:tcW w:type="dxa" w:w="1417"/>
          </w:tcPr>
          <w:p>
            <w:pPr>
              <w:jc w:val="center"/>
            </w:pPr>
            <w:r>
              <w:rPr>
                <w:rFonts w:ascii="Arial" w:hAnsi="Arial"/>
                <w:sz w:val="18"/>
              </w:rPr>
              <w:t>0.70</w:t>
            </w:r>
          </w:p>
        </w:tc>
        <w:tc>
          <w:tcPr>
            <w:tcW w:type="dxa" w:w="1417"/>
          </w:tcPr>
          <w:p>
            <w:pPr>
              <w:jc w:val="center"/>
            </w:pPr>
            <w:r>
              <w:rPr>
                <w:rFonts w:ascii="Arial" w:hAnsi="Arial"/>
                <w:sz w:val="18"/>
              </w:rPr>
              <w:t>0.79</w:t>
            </w:r>
          </w:p>
        </w:tc>
        <w:tc>
          <w:tcPr>
            <w:tcW w:type="dxa" w:w="1417"/>
          </w:tcPr>
          <w:p>
            <w:pPr>
              <w:jc w:val="center"/>
            </w:pPr>
            <w:r>
              <w:rPr>
                <w:rFonts w:ascii="Arial" w:hAnsi="Arial"/>
                <w:sz w:val="18"/>
              </w:rPr>
              <w:t>0.60</w:t>
            </w:r>
          </w:p>
        </w:tc>
        <w:tc>
          <w:tcPr>
            <w:tcW w:type="dxa" w:w="1417"/>
          </w:tcPr>
          <w:p>
            <w:pPr>
              <w:jc w:val="center"/>
            </w:pPr>
            <w:r>
              <w:rPr>
                <w:rFonts w:ascii="Arial" w:hAnsi="Arial"/>
                <w:sz w:val="18"/>
              </w:rPr>
              <w:t>0.71</w:t>
            </w:r>
          </w:p>
        </w:tc>
      </w:tr>
      <w:tr>
        <w:tc>
          <w:tcPr>
            <w:tcW w:type="dxa" w:w="2268"/>
            <w:shd w:fill="F0F4FF"/>
          </w:tcPr>
          <w:p>
            <w:pPr>
              <w:jc w:val="center"/>
            </w:pPr>
            <w:r>
              <w:rPr>
                <w:rFonts w:ascii="Arial" w:hAnsi="Arial"/>
                <w:sz w:val="18"/>
              </w:rPr>
              <w:t>OLMo 32B Instruct</w:t>
            </w:r>
          </w:p>
        </w:tc>
        <w:tc>
          <w:tcPr>
            <w:tcW w:type="dxa" w:w="1417"/>
            <w:shd w:fill="F0F4FF"/>
          </w:tcPr>
          <w:p>
            <w:pPr>
              <w:jc w:val="center"/>
            </w:pPr>
            <w:r>
              <w:rPr>
                <w:rFonts w:ascii="Arial" w:hAnsi="Arial"/>
                <w:sz w:val="18"/>
              </w:rPr>
              <w:t>0.67</w:t>
            </w:r>
          </w:p>
        </w:tc>
        <w:tc>
          <w:tcPr>
            <w:tcW w:type="dxa" w:w="1417"/>
            <w:shd w:fill="F0F4FF"/>
          </w:tcPr>
          <w:p>
            <w:pPr>
              <w:jc w:val="center"/>
            </w:pPr>
            <w:r>
              <w:rPr>
                <w:rFonts w:ascii="Arial" w:hAnsi="Arial"/>
                <w:sz w:val="18"/>
              </w:rPr>
              <w:t>0.75</w:t>
            </w:r>
          </w:p>
        </w:tc>
        <w:tc>
          <w:tcPr>
            <w:tcW w:type="dxa" w:w="1417"/>
            <w:shd w:fill="F0F4FF"/>
          </w:tcPr>
          <w:p>
            <w:pPr>
              <w:jc w:val="center"/>
            </w:pPr>
            <w:r>
              <w:rPr>
                <w:rFonts w:ascii="Arial" w:hAnsi="Arial"/>
                <w:sz w:val="18"/>
              </w:rPr>
              <w:t>0.58</w:t>
            </w:r>
          </w:p>
        </w:tc>
        <w:tc>
          <w:tcPr>
            <w:tcW w:type="dxa" w:w="1417"/>
            <w:shd w:fill="F0F4FF"/>
          </w:tcPr>
          <w:p>
            <w:pPr>
              <w:jc w:val="center"/>
            </w:pPr>
            <w:r>
              <w:rPr>
                <w:rFonts w:ascii="Arial" w:hAnsi="Arial"/>
                <w:sz w:val="18"/>
              </w:rPr>
              <w:t>0.68</w:t>
            </w:r>
          </w:p>
        </w:tc>
      </w:tr>
      <w:tr>
        <w:tc>
          <w:tcPr>
            <w:tcW w:type="dxa" w:w="2268"/>
          </w:tcPr>
          <w:p>
            <w:pPr>
              <w:jc w:val="center"/>
            </w:pPr>
            <w:r>
              <w:rPr>
                <w:rFonts w:ascii="Arial" w:hAnsi="Arial"/>
                <w:sz w:val="18"/>
              </w:rPr>
              <w:t>Gemma 3 4B</w:t>
            </w:r>
          </w:p>
        </w:tc>
        <w:tc>
          <w:tcPr>
            <w:tcW w:type="dxa" w:w="1417"/>
          </w:tcPr>
          <w:p>
            <w:pPr>
              <w:jc w:val="center"/>
            </w:pPr>
            <w:r>
              <w:rPr>
                <w:rFonts w:ascii="Arial" w:hAnsi="Arial"/>
                <w:sz w:val="18"/>
              </w:rPr>
              <w:t>0.59</w:t>
            </w:r>
          </w:p>
        </w:tc>
        <w:tc>
          <w:tcPr>
            <w:tcW w:type="dxa" w:w="1417"/>
          </w:tcPr>
          <w:p>
            <w:pPr>
              <w:jc w:val="center"/>
            </w:pPr>
            <w:r>
              <w:rPr>
                <w:rFonts w:ascii="Arial" w:hAnsi="Arial"/>
                <w:sz w:val="18"/>
              </w:rPr>
              <w:t>0.62</w:t>
            </w:r>
          </w:p>
        </w:tc>
        <w:tc>
          <w:tcPr>
            <w:tcW w:type="dxa" w:w="1417"/>
          </w:tcPr>
          <w:p>
            <w:pPr>
              <w:jc w:val="center"/>
            </w:pPr>
            <w:r>
              <w:rPr>
                <w:rFonts w:ascii="Arial" w:hAnsi="Arial"/>
                <w:sz w:val="18"/>
              </w:rPr>
              <w:t>0.44</w:t>
            </w:r>
          </w:p>
        </w:tc>
        <w:tc>
          <w:tcPr>
            <w:tcW w:type="dxa" w:w="1417"/>
          </w:tcPr>
          <w:p>
            <w:pPr>
              <w:jc w:val="center"/>
            </w:pPr>
            <w:r>
              <w:rPr>
                <w:rFonts w:ascii="Arial" w:hAnsi="Arial"/>
                <w:sz w:val="18"/>
              </w:rPr>
              <w:t>0.57</w:t>
            </w:r>
          </w:p>
        </w:tc>
      </w:tr>
      <w:tr>
        <w:tc>
          <w:tcPr>
            <w:tcW w:type="dxa" w:w="2268"/>
            <w:shd w:fill="F0F4FF"/>
          </w:tcPr>
          <w:p>
            <w:pPr>
              <w:jc w:val="center"/>
            </w:pPr>
            <w:r>
              <w:rPr>
                <w:rFonts w:ascii="Arial" w:hAnsi="Arial"/>
                <w:sz w:val="18"/>
              </w:rPr>
              <w:t>Meditron3 7B</w:t>
            </w:r>
          </w:p>
        </w:tc>
        <w:tc>
          <w:tcPr>
            <w:tcW w:type="dxa" w:w="1417"/>
            <w:shd w:fill="F0F4FF"/>
          </w:tcPr>
          <w:p>
            <w:pPr>
              <w:jc w:val="center"/>
            </w:pPr>
            <w:r>
              <w:rPr>
                <w:rFonts w:ascii="Arial" w:hAnsi="Arial"/>
                <w:sz w:val="18"/>
              </w:rPr>
              <w:t>0.51</w:t>
            </w:r>
          </w:p>
        </w:tc>
        <w:tc>
          <w:tcPr>
            <w:tcW w:type="dxa" w:w="1417"/>
            <w:shd w:fill="F0F4FF"/>
          </w:tcPr>
          <w:p>
            <w:pPr>
              <w:jc w:val="center"/>
            </w:pPr>
            <w:r>
              <w:rPr>
                <w:rFonts w:ascii="Arial" w:hAnsi="Arial"/>
                <w:sz w:val="18"/>
              </w:rPr>
              <w:t>0.56</w:t>
            </w:r>
          </w:p>
        </w:tc>
        <w:tc>
          <w:tcPr>
            <w:tcW w:type="dxa" w:w="1417"/>
            <w:shd w:fill="F0F4FF"/>
          </w:tcPr>
          <w:p>
            <w:pPr>
              <w:jc w:val="center"/>
            </w:pPr>
            <w:r>
              <w:rPr>
                <w:rFonts w:ascii="Arial" w:hAnsi="Arial"/>
                <w:sz w:val="18"/>
              </w:rPr>
              <w:t>0.39</w:t>
            </w:r>
          </w:p>
        </w:tc>
        <w:tc>
          <w:tcPr>
            <w:tcW w:type="dxa" w:w="1417"/>
            <w:shd w:fill="F0F4FF"/>
          </w:tcPr>
          <w:p>
            <w:pPr>
              <w:jc w:val="center"/>
            </w:pPr>
            <w:r>
              <w:rPr>
                <w:rFonts w:ascii="Arial" w:hAnsi="Arial"/>
                <w:sz w:val="18"/>
              </w:rPr>
              <w:t>0.51</w:t>
            </w:r>
          </w:p>
        </w:tc>
      </w:tr>
    </w:tbl>
    <w:p>
      <w:r>
        <w:br w:type="page"/>
      </w:r>
    </w:p>
    <w:p>
      <w:pPr>
        <w:pStyle w:val="Heading1"/>
      </w:pPr>
      <w:r>
        <w:t>8. Therapy Category Analysis</w:t>
      </w:r>
    </w:p>
    <w:p>
      <w:r>
        <w:t>Each model's therapy prediction was classified into standard categories. The distribution reveals which treatment approaches models favor and how this varies across models.</w:t>
      </w:r>
    </w:p>
    <w:p>
      <w:pPr>
        <w:jc w:val="center"/>
      </w:pPr>
      <w:r>
        <w:drawing>
          <wp:inline xmlns:a="http://schemas.openxmlformats.org/drawingml/2006/main" xmlns:pic="http://schemas.openxmlformats.org/drawingml/2006/picture">
            <wp:extent cx="5486400" cy="2237711"/>
            <wp:docPr id="3" name="Picture 3"/>
            <wp:cNvGraphicFramePr>
              <a:graphicFrameLocks noChangeAspect="1"/>
            </wp:cNvGraphicFramePr>
            <a:graphic>
              <a:graphicData uri="http://schemas.openxmlformats.org/drawingml/2006/picture">
                <pic:pic>
                  <pic:nvPicPr>
                    <pic:cNvPr id="0" name="therapy_categories.png"/>
                    <pic:cNvPicPr/>
                  </pic:nvPicPr>
                  <pic:blipFill>
                    <a:blip r:embed="rId11"/>
                    <a:stretch>
                      <a:fillRect/>
                    </a:stretch>
                  </pic:blipFill>
                  <pic:spPr>
                    <a:xfrm>
                      <a:off x="0" y="0"/>
                      <a:ext cx="5486400" cy="2237711"/>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Therapy Category</w:t>
            </w:r>
          </w:p>
        </w:tc>
        <w:tc>
          <w:tcPr>
            <w:tcW w:type="dxa" w:w="1701"/>
            <w:shd w:fill="1E40AF"/>
          </w:tcPr>
          <w:p>
            <w:pPr>
              <w:jc w:val="center"/>
            </w:pPr>
            <w:r>
              <w:rPr>
                <w:rFonts w:ascii="Arial" w:hAnsi="Arial"/>
                <w:b/>
                <w:color w:val="FFFFFF"/>
                <w:sz w:val="18"/>
              </w:rPr>
              <w:t>Count</w:t>
            </w:r>
          </w:p>
        </w:tc>
        <w:tc>
          <w:tcPr>
            <w:tcW w:type="dxa" w:w="2268"/>
            <w:shd w:fill="1E40AF"/>
          </w:tcPr>
          <w:p>
            <w:pPr>
              <w:jc w:val="center"/>
            </w:pPr>
            <w:r>
              <w:rPr>
                <w:rFonts w:ascii="Arial" w:hAnsi="Arial"/>
                <w:b/>
                <w:color w:val="FFFFFF"/>
                <w:sz w:val="18"/>
              </w:rPr>
              <w:t>% of Predictions</w:t>
            </w:r>
          </w:p>
        </w:tc>
      </w:tr>
      <w:tr>
        <w:tc>
          <w:tcPr>
            <w:tcW w:type="dxa" w:w="2835"/>
          </w:tcPr>
          <w:p>
            <w:pPr>
              <w:jc w:val="center"/>
            </w:pPr>
            <w:r>
              <w:rPr>
                <w:rFonts w:ascii="Arial" w:hAnsi="Arial"/>
                <w:sz w:val="18"/>
              </w:rPr>
              <w:t>IO + TKI</w:t>
            </w:r>
          </w:p>
        </w:tc>
        <w:tc>
          <w:tcPr>
            <w:tcW w:type="dxa" w:w="1701"/>
          </w:tcPr>
          <w:p>
            <w:pPr>
              <w:jc w:val="center"/>
            </w:pPr>
            <w:r>
              <w:rPr>
                <w:rFonts w:ascii="Arial" w:hAnsi="Arial"/>
                <w:sz w:val="18"/>
              </w:rPr>
              <w:t>165</w:t>
            </w:r>
          </w:p>
        </w:tc>
        <w:tc>
          <w:tcPr>
            <w:tcW w:type="dxa" w:w="2268"/>
          </w:tcPr>
          <w:p>
            <w:pPr>
              <w:jc w:val="center"/>
            </w:pPr>
            <w:r>
              <w:rPr>
                <w:rFonts w:ascii="Arial" w:hAnsi="Arial"/>
                <w:sz w:val="18"/>
              </w:rPr>
              <w:t>39.9%</w:t>
            </w:r>
          </w:p>
        </w:tc>
      </w:tr>
      <w:tr>
        <w:tc>
          <w:tcPr>
            <w:tcW w:type="dxa" w:w="2835"/>
            <w:shd w:fill="F0F4FF"/>
          </w:tcPr>
          <w:p>
            <w:pPr>
              <w:jc w:val="center"/>
            </w:pPr>
            <w:r>
              <w:rPr>
                <w:rFonts w:ascii="Arial" w:hAnsi="Arial"/>
                <w:sz w:val="18"/>
              </w:rPr>
              <w:t>TKI Mono</w:t>
            </w:r>
          </w:p>
        </w:tc>
        <w:tc>
          <w:tcPr>
            <w:tcW w:type="dxa" w:w="1701"/>
            <w:shd w:fill="F0F4FF"/>
          </w:tcPr>
          <w:p>
            <w:pPr>
              <w:jc w:val="center"/>
            </w:pPr>
            <w:r>
              <w:rPr>
                <w:rFonts w:ascii="Arial" w:hAnsi="Arial"/>
                <w:sz w:val="18"/>
              </w:rPr>
              <w:t>136</w:t>
            </w:r>
          </w:p>
        </w:tc>
        <w:tc>
          <w:tcPr>
            <w:tcW w:type="dxa" w:w="2268"/>
            <w:shd w:fill="F0F4FF"/>
          </w:tcPr>
          <w:p>
            <w:pPr>
              <w:jc w:val="center"/>
            </w:pPr>
            <w:r>
              <w:rPr>
                <w:rFonts w:ascii="Arial" w:hAnsi="Arial"/>
                <w:sz w:val="18"/>
              </w:rPr>
              <w:t>32.9%</w:t>
            </w:r>
          </w:p>
        </w:tc>
      </w:tr>
      <w:tr>
        <w:tc>
          <w:tcPr>
            <w:tcW w:type="dxa" w:w="2835"/>
          </w:tcPr>
          <w:p>
            <w:pPr>
              <w:jc w:val="center"/>
            </w:pPr>
            <w:r>
              <w:rPr>
                <w:rFonts w:ascii="Arial" w:hAnsi="Arial"/>
                <w:sz w:val="18"/>
              </w:rPr>
              <w:t>Surgery</w:t>
            </w:r>
          </w:p>
        </w:tc>
        <w:tc>
          <w:tcPr>
            <w:tcW w:type="dxa" w:w="1701"/>
          </w:tcPr>
          <w:p>
            <w:pPr>
              <w:jc w:val="center"/>
            </w:pPr>
            <w:r>
              <w:rPr>
                <w:rFonts w:ascii="Arial" w:hAnsi="Arial"/>
                <w:sz w:val="18"/>
              </w:rPr>
              <w:t>69</w:t>
            </w:r>
          </w:p>
        </w:tc>
        <w:tc>
          <w:tcPr>
            <w:tcW w:type="dxa" w:w="2268"/>
          </w:tcPr>
          <w:p>
            <w:pPr>
              <w:jc w:val="center"/>
            </w:pPr>
            <w:r>
              <w:rPr>
                <w:rFonts w:ascii="Arial" w:hAnsi="Arial"/>
                <w:sz w:val="18"/>
              </w:rPr>
              <w:t>16.7%</w:t>
            </w:r>
          </w:p>
        </w:tc>
      </w:tr>
      <w:tr>
        <w:tc>
          <w:tcPr>
            <w:tcW w:type="dxa" w:w="2835"/>
            <w:shd w:fill="F0F4FF"/>
          </w:tcPr>
          <w:p>
            <w:pPr>
              <w:jc w:val="center"/>
            </w:pPr>
            <w:r>
              <w:rPr>
                <w:rFonts w:ascii="Arial" w:hAnsi="Arial"/>
                <w:sz w:val="18"/>
              </w:rPr>
              <w:t>Other</w:t>
            </w:r>
          </w:p>
        </w:tc>
        <w:tc>
          <w:tcPr>
            <w:tcW w:type="dxa" w:w="1701"/>
            <w:shd w:fill="F0F4FF"/>
          </w:tcPr>
          <w:p>
            <w:pPr>
              <w:jc w:val="center"/>
            </w:pPr>
            <w:r>
              <w:rPr>
                <w:rFonts w:ascii="Arial" w:hAnsi="Arial"/>
                <w:sz w:val="18"/>
              </w:rPr>
              <w:t>16</w:t>
            </w:r>
          </w:p>
        </w:tc>
        <w:tc>
          <w:tcPr>
            <w:tcW w:type="dxa" w:w="2268"/>
            <w:shd w:fill="F0F4FF"/>
          </w:tcPr>
          <w:p>
            <w:pPr>
              <w:jc w:val="center"/>
            </w:pPr>
            <w:r>
              <w:rPr>
                <w:rFonts w:ascii="Arial" w:hAnsi="Arial"/>
                <w:sz w:val="18"/>
              </w:rPr>
              <w:t>3.9%</w:t>
            </w:r>
          </w:p>
        </w:tc>
      </w:tr>
      <w:tr>
        <w:tc>
          <w:tcPr>
            <w:tcW w:type="dxa" w:w="2835"/>
          </w:tcPr>
          <w:p>
            <w:pPr>
              <w:jc w:val="center"/>
            </w:pPr>
            <w:r>
              <w:rPr>
                <w:rFonts w:ascii="Arial" w:hAnsi="Arial"/>
                <w:sz w:val="18"/>
              </w:rPr>
              <w:t>TKI + mTOR</w:t>
            </w:r>
          </w:p>
        </w:tc>
        <w:tc>
          <w:tcPr>
            <w:tcW w:type="dxa" w:w="1701"/>
          </w:tcPr>
          <w:p>
            <w:pPr>
              <w:jc w:val="center"/>
            </w:pPr>
            <w:r>
              <w:rPr>
                <w:rFonts w:ascii="Arial" w:hAnsi="Arial"/>
                <w:sz w:val="18"/>
              </w:rPr>
              <w:t>10</w:t>
            </w:r>
          </w:p>
        </w:tc>
        <w:tc>
          <w:tcPr>
            <w:tcW w:type="dxa" w:w="2268"/>
          </w:tcPr>
          <w:p>
            <w:pPr>
              <w:jc w:val="center"/>
            </w:pPr>
            <w:r>
              <w:rPr>
                <w:rFonts w:ascii="Arial" w:hAnsi="Arial"/>
                <w:sz w:val="18"/>
              </w:rPr>
              <w:t>2.4%</w:t>
            </w:r>
          </w:p>
        </w:tc>
      </w:tr>
      <w:tr>
        <w:tc>
          <w:tcPr>
            <w:tcW w:type="dxa" w:w="2835"/>
            <w:shd w:fill="F0F4FF"/>
          </w:tcPr>
          <w:p>
            <w:pPr>
              <w:jc w:val="center"/>
            </w:pPr>
            <w:r>
              <w:rPr>
                <w:rFonts w:ascii="Arial" w:hAnsi="Arial"/>
                <w:sz w:val="18"/>
              </w:rPr>
              <w:t>Surveillance</w:t>
            </w:r>
          </w:p>
        </w:tc>
        <w:tc>
          <w:tcPr>
            <w:tcW w:type="dxa" w:w="1701"/>
            <w:shd w:fill="F0F4FF"/>
          </w:tcPr>
          <w:p>
            <w:pPr>
              <w:jc w:val="center"/>
            </w:pPr>
            <w:r>
              <w:rPr>
                <w:rFonts w:ascii="Arial" w:hAnsi="Arial"/>
                <w:sz w:val="18"/>
              </w:rPr>
              <w:t>9</w:t>
            </w:r>
          </w:p>
        </w:tc>
        <w:tc>
          <w:tcPr>
            <w:tcW w:type="dxa" w:w="2268"/>
            <w:shd w:fill="F0F4FF"/>
          </w:tcPr>
          <w:p>
            <w:pPr>
              <w:jc w:val="center"/>
            </w:pPr>
            <w:r>
              <w:rPr>
                <w:rFonts w:ascii="Arial" w:hAnsi="Arial"/>
                <w:sz w:val="18"/>
              </w:rPr>
              <w:t>2.2%</w:t>
            </w:r>
          </w:p>
        </w:tc>
      </w:tr>
      <w:tr>
        <w:tc>
          <w:tcPr>
            <w:tcW w:type="dxa" w:w="2835"/>
          </w:tcPr>
          <w:p>
            <w:pPr>
              <w:jc w:val="center"/>
            </w:pPr>
            <w:r>
              <w:rPr>
                <w:rFonts w:ascii="Arial" w:hAnsi="Arial"/>
                <w:sz w:val="18"/>
              </w:rPr>
              <w:t>IO Mono</w:t>
            </w:r>
          </w:p>
        </w:tc>
        <w:tc>
          <w:tcPr>
            <w:tcW w:type="dxa" w:w="1701"/>
          </w:tcPr>
          <w:p>
            <w:pPr>
              <w:jc w:val="center"/>
            </w:pPr>
            <w:r>
              <w:rPr>
                <w:rFonts w:ascii="Arial" w:hAnsi="Arial"/>
                <w:sz w:val="18"/>
              </w:rPr>
              <w:t>8</w:t>
            </w:r>
          </w:p>
        </w:tc>
        <w:tc>
          <w:tcPr>
            <w:tcW w:type="dxa" w:w="2268"/>
          </w:tcPr>
          <w:p>
            <w:pPr>
              <w:jc w:val="center"/>
            </w:pPr>
            <w:r>
              <w:rPr>
                <w:rFonts w:ascii="Arial" w:hAnsi="Arial"/>
                <w:sz w:val="18"/>
              </w:rPr>
              <w:t>1.9%</w:t>
            </w:r>
          </w:p>
        </w:tc>
      </w:tr>
      <w:tr>
        <w:tc>
          <w:tcPr>
            <w:tcW w:type="dxa" w:w="2835"/>
            <w:shd w:fill="F0F4FF"/>
          </w:tcPr>
          <w:p>
            <w:pPr>
              <w:jc w:val="center"/>
            </w:pPr>
            <w:r>
              <w:rPr>
                <w:rFonts w:ascii="Arial" w:hAnsi="Arial"/>
                <w:sz w:val="18"/>
              </w:rPr>
              <w:t>IO + IO</w:t>
            </w:r>
          </w:p>
        </w:tc>
        <w:tc>
          <w:tcPr>
            <w:tcW w:type="dxa" w:w="1701"/>
            <w:shd w:fill="F0F4FF"/>
          </w:tcPr>
          <w:p>
            <w:pPr>
              <w:jc w:val="center"/>
            </w:pPr>
            <w:r>
              <w:rPr>
                <w:rFonts w:ascii="Arial" w:hAnsi="Arial"/>
                <w:sz w:val="18"/>
              </w:rPr>
              <w:t>1</w:t>
            </w:r>
          </w:p>
        </w:tc>
        <w:tc>
          <w:tcPr>
            <w:tcW w:type="dxa" w:w="2268"/>
            <w:shd w:fill="F0F4FF"/>
          </w:tcPr>
          <w:p>
            <w:pPr>
              <w:jc w:val="center"/>
            </w:pPr>
            <w:r>
              <w:rPr>
                <w:rFonts w:ascii="Arial" w:hAnsi="Arial"/>
                <w:sz w:val="18"/>
              </w:rPr>
              <w:t>0.2%</w:t>
            </w:r>
          </w:p>
        </w:tc>
      </w:tr>
    </w:tbl>
    <w:p>
      <w:r>
        <w:t>IO + TKI (immunotherapy combined with tyrosine kinase inhibitor) and TKI Mono are the dominant predicted categories, reflecting current RCC treatment guidelines for metastatic disease. Surgery dominates predictions for localized cases.</w:t>
      </w:r>
    </w:p>
    <w:p>
      <w:r>
        <w:br w:type="page"/>
      </w:r>
    </w:p>
    <w:p>
      <w:pPr>
        <w:pStyle w:val="Heading1"/>
      </w:pPr>
      <w:r>
        <w:t>9. Model Performance — Uro-Oncologist Review</w:t>
      </w:r>
    </w:p>
    <w:p>
      <w:r>
        <w:t>Dr. Alexa reviewed 414 model predictions across 69 cases, providing expert assessment on therapy acceptability, exact match, patient orientation, and overall quality.</w:t>
      </w:r>
    </w:p>
    <w:p>
      <w:pPr>
        <w:pStyle w:val="Heading2"/>
      </w:pPr>
      <w:r>
        <w:t>Therapy Acceptability Rate</w:t>
      </w:r>
    </w:p>
    <w:p>
      <w:pPr>
        <w:jc w:val="center"/>
      </w:pPr>
      <w:r>
        <w:drawing>
          <wp:inline xmlns:a="http://schemas.openxmlformats.org/drawingml/2006/main" xmlns:pic="http://schemas.openxmlformats.org/drawingml/2006/picture">
            <wp:extent cx="5486400" cy="3026819"/>
            <wp:docPr id="4" name="Picture 4"/>
            <wp:cNvGraphicFramePr>
              <a:graphicFrameLocks noChangeAspect="1"/>
            </wp:cNvGraphicFramePr>
            <a:graphic>
              <a:graphicData uri="http://schemas.openxmlformats.org/drawingml/2006/picture">
                <pic:pic>
                  <pic:nvPicPr>
                    <pic:cNvPr id="0" name="model_acceptability.png"/>
                    <pic:cNvPicPr/>
                  </pic:nvPicPr>
                  <pic:blipFill>
                    <a:blip r:embed="rId12"/>
                    <a:stretch>
                      <a:fillRect/>
                    </a:stretch>
                  </pic:blipFill>
                  <pic:spPr>
                    <a:xfrm>
                      <a:off x="0" y="0"/>
                      <a:ext cx="5486400" cy="3026819"/>
                    </a:xfrm>
                    <a:prstGeom prst="rect"/>
                  </pic:spPr>
                </pic:pic>
              </a:graphicData>
            </a:graphic>
          </wp:inline>
        </w:drawing>
      </w:r>
    </w:p>
    <w:p>
      <w:pPr>
        <w:pStyle w:val="Heading2"/>
      </w:pPr>
      <w:r>
        <w:t>Average Prediction Quality</w:t>
      </w:r>
    </w:p>
    <w:p>
      <w:pPr>
        <w:jc w:val="center"/>
      </w:pPr>
      <w:r>
        <w:drawing>
          <wp:inline xmlns:a="http://schemas.openxmlformats.org/drawingml/2006/main" xmlns:pic="http://schemas.openxmlformats.org/drawingml/2006/picture">
            <wp:extent cx="5486400" cy="3026819"/>
            <wp:docPr id="5" name="Picture 5"/>
            <wp:cNvGraphicFramePr>
              <a:graphicFrameLocks noChangeAspect="1"/>
            </wp:cNvGraphicFramePr>
            <a:graphic>
              <a:graphicData uri="http://schemas.openxmlformats.org/drawingml/2006/picture">
                <pic:pic>
                  <pic:nvPicPr>
                    <pic:cNvPr id="0" name="model_quality.png"/>
                    <pic:cNvPicPr/>
                  </pic:nvPicPr>
                  <pic:blipFill>
                    <a:blip r:embed="rId13"/>
                    <a:stretch>
                      <a:fillRect/>
                    </a:stretch>
                  </pic:blipFill>
                  <pic:spPr>
                    <a:xfrm>
                      <a:off x="0" y="0"/>
                      <a:ext cx="5486400" cy="3026819"/>
                    </a:xfrm>
                    <a:prstGeom prst="rect"/>
                  </pic:spPr>
                </pic:pic>
              </a:graphicData>
            </a:graphic>
          </wp:inline>
        </w:drawing>
      </w:r>
    </w:p>
    <w:p>
      <w:pPr>
        <w:pStyle w:val="Heading2"/>
      </w:pPr>
      <w:r>
        <w:t>Uro-Oncologist Review Summary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E40AF"/>
          </w:tcPr>
          <w:p>
            <w:pPr>
              <w:jc w:val="center"/>
            </w:pPr>
            <w:r>
              <w:rPr>
                <w:rFonts w:ascii="Arial" w:hAnsi="Arial"/>
                <w:b/>
                <w:color w:val="FFFFFF"/>
                <w:sz w:val="18"/>
              </w:rPr>
              <w:t>Model</w:t>
            </w:r>
          </w:p>
        </w:tc>
        <w:tc>
          <w:tcPr>
            <w:tcW w:type="dxa" w:w="1020"/>
            <w:shd w:fill="1E40AF"/>
          </w:tcPr>
          <w:p>
            <w:pPr>
              <w:jc w:val="center"/>
            </w:pPr>
            <w:r>
              <w:rPr>
                <w:rFonts w:ascii="Arial" w:hAnsi="Arial"/>
                <w:b/>
                <w:color w:val="FFFFFF"/>
                <w:sz w:val="18"/>
              </w:rPr>
              <w:t>Cases</w:t>
            </w:r>
          </w:p>
        </w:tc>
        <w:tc>
          <w:tcPr>
            <w:tcW w:type="dxa" w:w="1417"/>
            <w:shd w:fill="1E40AF"/>
          </w:tcPr>
          <w:p>
            <w:pPr>
              <w:jc w:val="center"/>
            </w:pPr>
            <w:r>
              <w:rPr>
                <w:rFonts w:ascii="Arial" w:hAnsi="Arial"/>
                <w:b/>
                <w:color w:val="FFFFFF"/>
                <w:sz w:val="18"/>
              </w:rPr>
              <w:t>Acceptable %</w:t>
            </w:r>
          </w:p>
        </w:tc>
        <w:tc>
          <w:tcPr>
            <w:tcW w:type="dxa" w:w="1701"/>
            <w:shd w:fill="1E40AF"/>
          </w:tcPr>
          <w:p>
            <w:pPr>
              <w:jc w:val="center"/>
            </w:pPr>
            <w:r>
              <w:rPr>
                <w:rFonts w:ascii="Arial" w:hAnsi="Arial"/>
                <w:b/>
                <w:color w:val="FFFFFF"/>
                <w:sz w:val="18"/>
              </w:rPr>
              <w:t>Avg Exact Match</w:t>
            </w:r>
          </w:p>
        </w:tc>
        <w:tc>
          <w:tcPr>
            <w:tcW w:type="dxa" w:w="1701"/>
            <w:shd w:fill="1E40AF"/>
          </w:tcPr>
          <w:p>
            <w:pPr>
              <w:jc w:val="center"/>
            </w:pPr>
            <w:r>
              <w:rPr>
                <w:rFonts w:ascii="Arial" w:hAnsi="Arial"/>
                <w:b/>
                <w:color w:val="FFFFFF"/>
                <w:sz w:val="18"/>
              </w:rPr>
              <w:t>Avg Patient-Oriented</w:t>
            </w:r>
          </w:p>
        </w:tc>
        <w:tc>
          <w:tcPr>
            <w:tcW w:type="dxa" w:w="1701"/>
            <w:shd w:fill="1E40AF"/>
          </w:tcPr>
          <w:p>
            <w:pPr>
              <w:jc w:val="center"/>
            </w:pPr>
            <w:r>
              <w:rPr>
                <w:rFonts w:ascii="Arial" w:hAnsi="Arial"/>
                <w:b/>
                <w:color w:val="FFFFFF"/>
                <w:sz w:val="18"/>
              </w:rPr>
              <w:t>Avg Quality (0–9)</w:t>
            </w:r>
          </w:p>
        </w:tc>
      </w:tr>
      <w:tr>
        <w:tc>
          <w:tcPr>
            <w:tcW w:type="dxa" w:w="1984"/>
          </w:tcPr>
          <w:p>
            <w:pPr>
              <w:jc w:val="center"/>
            </w:pPr>
            <w:r>
              <w:rPr>
                <w:rFonts w:ascii="Arial" w:hAnsi="Arial"/>
                <w:sz w:val="18"/>
              </w:rPr>
              <w:t>MedGemma 27B</w:t>
            </w:r>
          </w:p>
        </w:tc>
        <w:tc>
          <w:tcPr>
            <w:tcW w:type="dxa" w:w="1020"/>
          </w:tcPr>
          <w:p>
            <w:pPr>
              <w:jc w:val="center"/>
            </w:pPr>
            <w:r>
              <w:rPr>
                <w:rFonts w:ascii="Arial" w:hAnsi="Arial"/>
                <w:sz w:val="18"/>
              </w:rPr>
              <w:t>69</w:t>
            </w:r>
          </w:p>
        </w:tc>
        <w:tc>
          <w:tcPr>
            <w:tcW w:type="dxa" w:w="1417"/>
          </w:tcPr>
          <w:p>
            <w:pPr>
              <w:jc w:val="center"/>
            </w:pPr>
            <w:r>
              <w:rPr>
                <w:rFonts w:ascii="Arial" w:hAnsi="Arial"/>
                <w:sz w:val="18"/>
              </w:rPr>
              <w:t>75.4%</w:t>
            </w:r>
          </w:p>
        </w:tc>
        <w:tc>
          <w:tcPr>
            <w:tcW w:type="dxa" w:w="1701"/>
          </w:tcPr>
          <w:p>
            <w:pPr>
              <w:jc w:val="center"/>
            </w:pPr>
            <w:r>
              <w:rPr>
                <w:rFonts w:ascii="Arial" w:hAnsi="Arial"/>
                <w:sz w:val="18"/>
              </w:rPr>
              <w:t>63.8</w:t>
            </w:r>
          </w:p>
        </w:tc>
        <w:tc>
          <w:tcPr>
            <w:tcW w:type="dxa" w:w="1701"/>
          </w:tcPr>
          <w:p>
            <w:pPr>
              <w:jc w:val="center"/>
            </w:pPr>
            <w:r>
              <w:rPr>
                <w:rFonts w:ascii="Arial" w:hAnsi="Arial"/>
                <w:sz w:val="18"/>
              </w:rPr>
              <w:t>63.5</w:t>
            </w:r>
          </w:p>
        </w:tc>
        <w:tc>
          <w:tcPr>
            <w:tcW w:type="dxa" w:w="1701"/>
          </w:tcPr>
          <w:p>
            <w:pPr>
              <w:jc w:val="center"/>
            </w:pPr>
            <w:r>
              <w:rPr>
                <w:rFonts w:ascii="Arial" w:hAnsi="Arial"/>
                <w:sz w:val="18"/>
              </w:rPr>
              <w:t>6.1</w:t>
            </w:r>
          </w:p>
        </w:tc>
      </w:tr>
      <w:tr>
        <w:tc>
          <w:tcPr>
            <w:tcW w:type="dxa" w:w="1984"/>
            <w:shd w:fill="F0F4FF"/>
          </w:tcPr>
          <w:p>
            <w:pPr>
              <w:jc w:val="center"/>
            </w:pPr>
            <w:r>
              <w:rPr>
                <w:rFonts w:ascii="Arial" w:hAnsi="Arial"/>
                <w:sz w:val="18"/>
              </w:rPr>
              <w:t>Gemma 3 27B</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74.6%</w:t>
            </w:r>
          </w:p>
        </w:tc>
        <w:tc>
          <w:tcPr>
            <w:tcW w:type="dxa" w:w="1701"/>
            <w:shd w:fill="F0F4FF"/>
          </w:tcPr>
          <w:p>
            <w:pPr>
              <w:jc w:val="center"/>
            </w:pPr>
            <w:r>
              <w:rPr>
                <w:rFonts w:ascii="Arial" w:hAnsi="Arial"/>
                <w:sz w:val="18"/>
              </w:rPr>
              <w:t>61.8</w:t>
            </w:r>
          </w:p>
        </w:tc>
        <w:tc>
          <w:tcPr>
            <w:tcW w:type="dxa" w:w="1701"/>
            <w:shd w:fill="F0F4FF"/>
          </w:tcPr>
          <w:p>
            <w:pPr>
              <w:jc w:val="center"/>
            </w:pPr>
            <w:r>
              <w:rPr>
                <w:rFonts w:ascii="Arial" w:hAnsi="Arial"/>
                <w:sz w:val="18"/>
              </w:rPr>
              <w:t>61.8</w:t>
            </w:r>
          </w:p>
        </w:tc>
        <w:tc>
          <w:tcPr>
            <w:tcW w:type="dxa" w:w="1701"/>
            <w:shd w:fill="F0F4FF"/>
          </w:tcPr>
          <w:p>
            <w:pPr>
              <w:jc w:val="center"/>
            </w:pPr>
            <w:r>
              <w:rPr>
                <w:rFonts w:ascii="Arial" w:hAnsi="Arial"/>
                <w:sz w:val="18"/>
              </w:rPr>
              <w:t>5.8</w:t>
            </w:r>
          </w:p>
        </w:tc>
      </w:tr>
      <w:tr>
        <w:tc>
          <w:tcPr>
            <w:tcW w:type="dxa" w:w="1984"/>
          </w:tcPr>
          <w:p>
            <w:pPr>
              <w:jc w:val="center"/>
            </w:pPr>
            <w:r>
              <w:rPr>
                <w:rFonts w:ascii="Arial" w:hAnsi="Arial"/>
                <w:sz w:val="18"/>
              </w:rPr>
              <w:t>OLMo 32B Instruct</w:t>
            </w:r>
          </w:p>
        </w:tc>
        <w:tc>
          <w:tcPr>
            <w:tcW w:type="dxa" w:w="1020"/>
          </w:tcPr>
          <w:p>
            <w:pPr>
              <w:jc w:val="center"/>
            </w:pPr>
            <w:r>
              <w:rPr>
                <w:rFonts w:ascii="Arial" w:hAnsi="Arial"/>
                <w:sz w:val="18"/>
              </w:rPr>
              <w:t>69</w:t>
            </w:r>
          </w:p>
        </w:tc>
        <w:tc>
          <w:tcPr>
            <w:tcW w:type="dxa" w:w="1417"/>
          </w:tcPr>
          <w:p>
            <w:pPr>
              <w:jc w:val="center"/>
            </w:pPr>
            <w:r>
              <w:rPr>
                <w:rFonts w:ascii="Arial" w:hAnsi="Arial"/>
                <w:sz w:val="18"/>
              </w:rPr>
              <w:t>63.8%</w:t>
            </w:r>
          </w:p>
        </w:tc>
        <w:tc>
          <w:tcPr>
            <w:tcW w:type="dxa" w:w="1701"/>
          </w:tcPr>
          <w:p>
            <w:pPr>
              <w:jc w:val="center"/>
            </w:pPr>
            <w:r>
              <w:rPr>
                <w:rFonts w:ascii="Arial" w:hAnsi="Arial"/>
                <w:sz w:val="18"/>
              </w:rPr>
              <w:t>49.8</w:t>
            </w:r>
          </w:p>
        </w:tc>
        <w:tc>
          <w:tcPr>
            <w:tcW w:type="dxa" w:w="1701"/>
          </w:tcPr>
          <w:p>
            <w:pPr>
              <w:jc w:val="center"/>
            </w:pPr>
            <w:r>
              <w:rPr>
                <w:rFonts w:ascii="Arial" w:hAnsi="Arial"/>
                <w:sz w:val="18"/>
              </w:rPr>
              <w:t>50.6</w:t>
            </w:r>
          </w:p>
        </w:tc>
        <w:tc>
          <w:tcPr>
            <w:tcW w:type="dxa" w:w="1701"/>
          </w:tcPr>
          <w:p>
            <w:pPr>
              <w:jc w:val="center"/>
            </w:pPr>
            <w:r>
              <w:rPr>
                <w:rFonts w:ascii="Arial" w:hAnsi="Arial"/>
                <w:sz w:val="18"/>
              </w:rPr>
              <w:t>5.5</w:t>
            </w:r>
          </w:p>
        </w:tc>
      </w:tr>
      <w:tr>
        <w:tc>
          <w:tcPr>
            <w:tcW w:type="dxa" w:w="1984"/>
            <w:shd w:fill="F0F4FF"/>
          </w:tcPr>
          <w:p>
            <w:pPr>
              <w:jc w:val="center"/>
            </w:pPr>
            <w:r>
              <w:rPr>
                <w:rFonts w:ascii="Arial" w:hAnsi="Arial"/>
                <w:sz w:val="18"/>
              </w:rPr>
              <w:t>OLMo 32B Think</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69.1%</w:t>
            </w:r>
          </w:p>
        </w:tc>
        <w:tc>
          <w:tcPr>
            <w:tcW w:type="dxa" w:w="1701"/>
            <w:shd w:fill="F0F4FF"/>
          </w:tcPr>
          <w:p>
            <w:pPr>
              <w:jc w:val="center"/>
            </w:pPr>
            <w:r>
              <w:rPr>
                <w:rFonts w:ascii="Arial" w:hAnsi="Arial"/>
                <w:sz w:val="18"/>
              </w:rPr>
              <w:t>54.1</w:t>
            </w:r>
          </w:p>
        </w:tc>
        <w:tc>
          <w:tcPr>
            <w:tcW w:type="dxa" w:w="1701"/>
            <w:shd w:fill="F0F4FF"/>
          </w:tcPr>
          <w:p>
            <w:pPr>
              <w:jc w:val="center"/>
            </w:pPr>
            <w:r>
              <w:rPr>
                <w:rFonts w:ascii="Arial" w:hAnsi="Arial"/>
                <w:sz w:val="18"/>
              </w:rPr>
              <w:t>54.1</w:t>
            </w:r>
          </w:p>
        </w:tc>
        <w:tc>
          <w:tcPr>
            <w:tcW w:type="dxa" w:w="1701"/>
            <w:shd w:fill="F0F4FF"/>
          </w:tcPr>
          <w:p>
            <w:pPr>
              <w:jc w:val="center"/>
            </w:pPr>
            <w:r>
              <w:rPr>
                <w:rFonts w:ascii="Arial" w:hAnsi="Arial"/>
                <w:sz w:val="18"/>
              </w:rPr>
              <w:t>5.3</w:t>
            </w:r>
          </w:p>
        </w:tc>
      </w:tr>
      <w:tr>
        <w:tc>
          <w:tcPr>
            <w:tcW w:type="dxa" w:w="1984"/>
          </w:tcPr>
          <w:p>
            <w:pPr>
              <w:jc w:val="center"/>
            </w:pPr>
            <w:r>
              <w:rPr>
                <w:rFonts w:ascii="Arial" w:hAnsi="Arial"/>
                <w:sz w:val="18"/>
              </w:rPr>
              <w:t>Meditron3 7B</w:t>
            </w:r>
          </w:p>
        </w:tc>
        <w:tc>
          <w:tcPr>
            <w:tcW w:type="dxa" w:w="1020"/>
          </w:tcPr>
          <w:p>
            <w:pPr>
              <w:jc w:val="center"/>
            </w:pPr>
            <w:r>
              <w:rPr>
                <w:rFonts w:ascii="Arial" w:hAnsi="Arial"/>
                <w:sz w:val="18"/>
              </w:rPr>
              <w:t>69</w:t>
            </w:r>
          </w:p>
        </w:tc>
        <w:tc>
          <w:tcPr>
            <w:tcW w:type="dxa" w:w="1417"/>
          </w:tcPr>
          <w:p>
            <w:pPr>
              <w:jc w:val="center"/>
            </w:pPr>
            <w:r>
              <w:rPr>
                <w:rFonts w:ascii="Arial" w:hAnsi="Arial"/>
                <w:sz w:val="18"/>
              </w:rPr>
              <w:t>49.3%</w:t>
            </w:r>
          </w:p>
        </w:tc>
        <w:tc>
          <w:tcPr>
            <w:tcW w:type="dxa" w:w="1701"/>
          </w:tcPr>
          <w:p>
            <w:pPr>
              <w:jc w:val="center"/>
            </w:pPr>
            <w:r>
              <w:rPr>
                <w:rFonts w:ascii="Arial" w:hAnsi="Arial"/>
                <w:sz w:val="18"/>
              </w:rPr>
              <w:t>41.1</w:t>
            </w:r>
          </w:p>
        </w:tc>
        <w:tc>
          <w:tcPr>
            <w:tcW w:type="dxa" w:w="1701"/>
          </w:tcPr>
          <w:p>
            <w:pPr>
              <w:jc w:val="center"/>
            </w:pPr>
            <w:r>
              <w:rPr>
                <w:rFonts w:ascii="Arial" w:hAnsi="Arial"/>
                <w:sz w:val="18"/>
              </w:rPr>
              <w:t>41.2</w:t>
            </w:r>
          </w:p>
        </w:tc>
        <w:tc>
          <w:tcPr>
            <w:tcW w:type="dxa" w:w="1701"/>
          </w:tcPr>
          <w:p>
            <w:pPr>
              <w:jc w:val="center"/>
            </w:pPr>
            <w:r>
              <w:rPr>
                <w:rFonts w:ascii="Arial" w:hAnsi="Arial"/>
                <w:sz w:val="18"/>
              </w:rPr>
              <w:t>4.2</w:t>
            </w:r>
          </w:p>
        </w:tc>
      </w:tr>
      <w:tr>
        <w:tc>
          <w:tcPr>
            <w:tcW w:type="dxa" w:w="1984"/>
            <w:shd w:fill="F0F4FF"/>
          </w:tcPr>
          <w:p>
            <w:pPr>
              <w:jc w:val="center"/>
            </w:pPr>
            <w:r>
              <w:rPr>
                <w:rFonts w:ascii="Arial" w:hAnsi="Arial"/>
                <w:sz w:val="18"/>
              </w:rPr>
              <w:t>Gemma 3 4B</w:t>
            </w:r>
          </w:p>
        </w:tc>
        <w:tc>
          <w:tcPr>
            <w:tcW w:type="dxa" w:w="1020"/>
            <w:shd w:fill="F0F4FF"/>
          </w:tcPr>
          <w:p>
            <w:pPr>
              <w:jc w:val="center"/>
            </w:pPr>
            <w:r>
              <w:rPr>
                <w:rFonts w:ascii="Arial" w:hAnsi="Arial"/>
                <w:sz w:val="18"/>
              </w:rPr>
              <w:t>69</w:t>
            </w:r>
          </w:p>
        </w:tc>
        <w:tc>
          <w:tcPr>
            <w:tcW w:type="dxa" w:w="1417"/>
            <w:shd w:fill="F0F4FF"/>
          </w:tcPr>
          <w:p>
            <w:pPr>
              <w:jc w:val="center"/>
            </w:pPr>
            <w:r>
              <w:rPr>
                <w:rFonts w:ascii="Arial" w:hAnsi="Arial"/>
                <w:sz w:val="18"/>
              </w:rPr>
              <w:t>47.8%</w:t>
            </w:r>
          </w:p>
        </w:tc>
        <w:tc>
          <w:tcPr>
            <w:tcW w:type="dxa" w:w="1701"/>
            <w:shd w:fill="F0F4FF"/>
          </w:tcPr>
          <w:p>
            <w:pPr>
              <w:jc w:val="center"/>
            </w:pPr>
            <w:r>
              <w:rPr>
                <w:rFonts w:ascii="Arial" w:hAnsi="Arial"/>
                <w:sz w:val="18"/>
              </w:rPr>
              <w:t>39.9</w:t>
            </w:r>
          </w:p>
        </w:tc>
        <w:tc>
          <w:tcPr>
            <w:tcW w:type="dxa" w:w="1701"/>
            <w:shd w:fill="F0F4FF"/>
          </w:tcPr>
          <w:p>
            <w:pPr>
              <w:jc w:val="center"/>
            </w:pPr>
            <w:r>
              <w:rPr>
                <w:rFonts w:ascii="Arial" w:hAnsi="Arial"/>
                <w:sz w:val="18"/>
              </w:rPr>
              <w:t>39.9</w:t>
            </w:r>
          </w:p>
        </w:tc>
        <w:tc>
          <w:tcPr>
            <w:tcW w:type="dxa" w:w="1701"/>
            <w:shd w:fill="F0F4FF"/>
          </w:tcPr>
          <w:p>
            <w:pPr>
              <w:jc w:val="center"/>
            </w:pPr>
            <w:r>
              <w:rPr>
                <w:rFonts w:ascii="Arial" w:hAnsi="Arial"/>
                <w:sz w:val="18"/>
              </w:rPr>
              <w:t>3.9</w:t>
            </w:r>
          </w:p>
        </w:tc>
      </w:tr>
    </w:tbl>
    <w:p>
      <w:r>
        <w:br w:type="page"/>
      </w:r>
    </w:p>
    <w:p>
      <w:pPr>
        <w:pStyle w:val="Heading1"/>
      </w:pPr>
      <w:r>
        <w:t>10. Case Studies</w:t>
      </w:r>
    </w:p>
    <w:p>
      <w:r>
        <w:t>The following cases illustrate key patterns observed in the evaluation. Each case shows the ground truth therapy recommendation from the tumor board (Tumordiskussion), predictions from all 6 models, and evaluation outcomes.</w:t>
      </w:r>
    </w:p>
    <w:p>
      <w:pPr>
        <w:pStyle w:val="Heading2"/>
      </w:pPr>
      <w:r>
        <w:t>Case Study A: Model Consensus — Correct Prediction</w:t>
      </w:r>
    </w:p>
    <w:p>
      <w:r>
        <w:t>Case ncc_37: 69-year-old patient, ECOG 1, metastatic . Diagnosis: Metastasiertes Nierenzellkarzinom (mRCC) mit Progress unter 1. Linie (Pembrolizumab + Axitinib).</w:t>
      </w:r>
    </w:p>
    <w:p>
      <w:r>
        <w:t>Tumor Board Recommendation (Ground Truth): Start 2. Linie Cabozantinib; Monitoring: Blutdruck/Proteinurie, Leberwerte, TSH; Re-Staging nach 8–12 Wochen.</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Biopsie → IO+IO/TKI</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TKI mono</w:t>
            </w:r>
          </w:p>
        </w:tc>
        <w:tc>
          <w:tcPr>
            <w:tcW w:type="dxa" w:w="1417"/>
          </w:tcPr>
          <w:p>
            <w:pPr>
              <w:jc w:val="center"/>
            </w:pPr>
            <w:r>
              <w:rPr>
                <w:rFonts w:ascii="Arial" w:hAnsi="Arial"/>
                <w:sz w:val="18"/>
              </w:rPr>
              <w:t>Yes</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TKI</w:t>
            </w:r>
          </w:p>
        </w:tc>
        <w:tc>
          <w:tcPr>
            <w:tcW w:type="dxa" w:w="1417"/>
          </w:tcPr>
          <w:p>
            <w:pPr>
              <w:jc w:val="center"/>
            </w:pPr>
            <w:r>
              <w:rPr>
                <w:rFonts w:ascii="Arial" w:hAnsi="Arial"/>
                <w:sz w:val="18"/>
              </w:rPr>
              <w:t>Yes</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bl>
    <w:p>
      <w:r>
        <w:t>All or most models agreed on the correct therapy category. This case demonstrates that for well-defined clinical scenarios, current LLMs can reliably identify appropriate treatment approaches.</w:t>
      </w:r>
    </w:p>
    <w:p/>
    <w:p>
      <w:pPr>
        <w:pStyle w:val="Heading2"/>
      </w:pPr>
      <w:r>
        <w:t>Case Study B: Model Disagreement</w:t>
      </w:r>
    </w:p>
    <w:p>
      <w:r>
        <w:t>Case ncc_32: 62-year-old patient, ECOG 1, localized . Diagnosis: Metastasiertes RCC (ED 12.06.2023), 1. Linie Cabozantinib (2023–2025); CT 10.12.2025 mit Lokalrezidiv in Nephrektomie-Loge links (OP-Status angenommen) und peritonealer Metastasierung; keine pulmonalen/ossären Metastasen im CT..</w:t>
      </w:r>
    </w:p>
    <w:p>
      <w:r>
        <w:t>Tumor Board Recommendation (Ground Truth): Start 2. Linie (z. B. IO-basierte Kombination oder alternative Sequenz je nach Vorbehandlung und Nierenfunktion). Monitoring: Nierenwerte, Blutdruck, Proteinurie, klinische Symptomkontrolle.</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TKI mono / IO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No</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IO</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IO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No</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TKI</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No</w:t>
            </w:r>
          </w:p>
        </w:tc>
      </w:tr>
    </w:tbl>
    <w:p>
      <w:r>
        <w:t>Models predicted 6 different therapy categories: IO, IO mono, IO+TKI, TKI, TKI mono, TKI mono / IO. This divergence highlights cases where clinical ambiguity leads to different model interpretations.</w:t>
      </w:r>
    </w:p>
    <w:p/>
    <w:p>
      <w:pPr>
        <w:pStyle w:val="Heading2"/>
      </w:pPr>
      <w:r>
        <w:t>Case Study C: Uro-Oncologist–Judge Divergence</w:t>
      </w:r>
    </w:p>
    <w:p>
      <w:r>
        <w:t>Case ncc_1: 52-year-old patient, ECOG 0, metastatic papillär. Diagnosis: Metastasiertes papilläres RCC.</w:t>
      </w:r>
    </w:p>
    <w:p>
      <w:r>
        <w:t>Tumor Board Recommendation (Ground Truth): Einleitung palliative Systemtherapie TKI/IO (z.B. Nivolumab/Cabozantinib).</w:t>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2268"/>
            <w:shd w:fill="1E40AF"/>
          </w:tcPr>
          <w:p>
            <w:pPr>
              <w:jc w:val="center"/>
            </w:pPr>
            <w:r>
              <w:rPr>
                <w:rFonts w:ascii="Arial" w:hAnsi="Arial"/>
                <w:b/>
                <w:color w:val="FFFFFF"/>
                <w:sz w:val="18"/>
              </w:rPr>
              <w:t>Predicted Category</w:t>
            </w:r>
          </w:p>
        </w:tc>
        <w:tc>
          <w:tcPr>
            <w:tcW w:type="dxa" w:w="1417"/>
            <w:shd w:fill="1E40AF"/>
          </w:tcPr>
          <w:p>
            <w:pPr>
              <w:jc w:val="center"/>
            </w:pPr>
            <w:r>
              <w:rPr>
                <w:rFonts w:ascii="Arial" w:hAnsi="Arial"/>
                <w:b/>
                <w:color w:val="FFFFFF"/>
                <w:sz w:val="18"/>
              </w:rPr>
              <w:t>Exact Match</w:t>
            </w:r>
          </w:p>
        </w:tc>
        <w:tc>
          <w:tcPr>
            <w:tcW w:type="dxa" w:w="1417"/>
            <w:shd w:fill="1E40AF"/>
          </w:tcPr>
          <w:p>
            <w:pPr>
              <w:jc w:val="center"/>
            </w:pPr>
            <w:r>
              <w:rPr>
                <w:rFonts w:ascii="Arial" w:hAnsi="Arial"/>
                <w:b/>
                <w:color w:val="FFFFFF"/>
                <w:sz w:val="18"/>
              </w:rPr>
              <w:t>Acceptable</w:t>
            </w:r>
          </w:p>
        </w:tc>
      </w:tr>
      <w:tr>
        <w:tc>
          <w:tcPr>
            <w:tcW w:type="dxa" w:w="2268"/>
          </w:tcPr>
          <w:p>
            <w:pPr>
              <w:jc w:val="center"/>
            </w:pPr>
            <w:r>
              <w:rPr>
                <w:rFonts w:ascii="Arial" w:hAnsi="Arial"/>
                <w:sz w:val="18"/>
              </w:rPr>
              <w:t>Meditron3 7B</w:t>
            </w:r>
          </w:p>
        </w:tc>
        <w:tc>
          <w:tcPr>
            <w:tcW w:type="dxa" w:w="2268"/>
          </w:tcPr>
          <w:p>
            <w:pPr>
              <w:jc w:val="center"/>
            </w:pPr>
            <w:r>
              <w:rPr>
                <w:rFonts w:ascii="Arial" w:hAnsi="Arial"/>
                <w:sz w:val="18"/>
              </w:rPr>
              <w:t>Surgery</w:t>
            </w:r>
          </w:p>
        </w:tc>
        <w:tc>
          <w:tcPr>
            <w:tcW w:type="dxa" w:w="1417"/>
          </w:tcPr>
          <w:p>
            <w:pPr>
              <w:jc w:val="center"/>
            </w:pPr>
            <w:r>
              <w:rPr>
                <w:rFonts w:ascii="Arial" w:hAnsi="Arial"/>
                <w:sz w:val="18"/>
              </w:rPr>
              <w:t>No</w:t>
            </w:r>
          </w:p>
        </w:tc>
        <w:tc>
          <w:tcPr>
            <w:tcW w:type="dxa" w:w="1417"/>
          </w:tcPr>
          <w:p>
            <w:pPr>
              <w:jc w:val="center"/>
            </w:pPr>
            <w:r>
              <w:rPr>
                <w:rFonts w:ascii="Arial" w:hAnsi="Arial"/>
                <w:sz w:val="18"/>
              </w:rPr>
              <w:t>No</w:t>
            </w:r>
          </w:p>
        </w:tc>
      </w:tr>
      <w:tr>
        <w:tc>
          <w:tcPr>
            <w:tcW w:type="dxa" w:w="2268"/>
            <w:shd w:fill="F0F4FF"/>
          </w:tcPr>
          <w:p>
            <w:pPr>
              <w:jc w:val="center"/>
            </w:pPr>
            <w:r>
              <w:rPr>
                <w:rFonts w:ascii="Arial" w:hAnsi="Arial"/>
                <w:sz w:val="18"/>
              </w:rPr>
              <w:t>OLMo 32B Instruct</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No</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OLMo 32B Think</w:t>
            </w:r>
          </w:p>
        </w:tc>
        <w:tc>
          <w:tcPr>
            <w:tcW w:type="dxa" w:w="2268"/>
          </w:tcPr>
          <w:p>
            <w:pPr>
              <w:jc w:val="center"/>
            </w:pPr>
            <w:r>
              <w:rPr>
                <w:rFonts w:ascii="Arial" w:hAnsi="Arial"/>
                <w:sz w:val="18"/>
              </w:rPr>
              <w:t>TKI mono</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Gemma 3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r>
        <w:tc>
          <w:tcPr>
            <w:tcW w:type="dxa" w:w="2268"/>
          </w:tcPr>
          <w:p>
            <w:pPr>
              <w:jc w:val="center"/>
            </w:pPr>
            <w:r>
              <w:rPr>
                <w:rFonts w:ascii="Arial" w:hAnsi="Arial"/>
                <w:sz w:val="18"/>
              </w:rPr>
              <w:t>Gemma 3 4B</w:t>
            </w:r>
          </w:p>
        </w:tc>
        <w:tc>
          <w:tcPr>
            <w:tcW w:type="dxa" w:w="2268"/>
          </w:tcPr>
          <w:p>
            <w:pPr>
              <w:jc w:val="center"/>
            </w:pPr>
            <w:r>
              <w:rPr>
                <w:rFonts w:ascii="Arial" w:hAnsi="Arial"/>
                <w:sz w:val="18"/>
              </w:rPr>
              <w:t>IO+TKI</w:t>
            </w:r>
          </w:p>
        </w:tc>
        <w:tc>
          <w:tcPr>
            <w:tcW w:type="dxa" w:w="1417"/>
          </w:tcPr>
          <w:p>
            <w:pPr>
              <w:jc w:val="center"/>
            </w:pPr>
            <w:r>
              <w:rPr>
                <w:rFonts w:ascii="Arial" w:hAnsi="Arial"/>
                <w:sz w:val="18"/>
              </w:rPr>
              <w:t>No</w:t>
            </w:r>
          </w:p>
        </w:tc>
        <w:tc>
          <w:tcPr>
            <w:tcW w:type="dxa" w:w="1417"/>
          </w:tcPr>
          <w:p>
            <w:pPr>
              <w:jc w:val="center"/>
            </w:pPr>
            <w:r>
              <w:rPr>
                <w:rFonts w:ascii="Arial" w:hAnsi="Arial"/>
                <w:sz w:val="18"/>
              </w:rPr>
              <w:t>Yes</w:t>
            </w:r>
          </w:p>
        </w:tc>
      </w:tr>
      <w:tr>
        <w:tc>
          <w:tcPr>
            <w:tcW w:type="dxa" w:w="2268"/>
            <w:shd w:fill="F0F4FF"/>
          </w:tcPr>
          <w:p>
            <w:pPr>
              <w:jc w:val="center"/>
            </w:pPr>
            <w:r>
              <w:rPr>
                <w:rFonts w:ascii="Arial" w:hAnsi="Arial"/>
                <w:sz w:val="18"/>
              </w:rPr>
              <w:t>MedGemma 27B</w:t>
            </w:r>
          </w:p>
        </w:tc>
        <w:tc>
          <w:tcPr>
            <w:tcW w:type="dxa" w:w="2268"/>
            <w:shd w:fill="F0F4FF"/>
          </w:tcPr>
          <w:p>
            <w:pPr>
              <w:jc w:val="center"/>
            </w:pPr>
            <w:r>
              <w:rPr>
                <w:rFonts w:ascii="Arial" w:hAnsi="Arial"/>
                <w:sz w:val="18"/>
              </w:rPr>
              <w:t>TKI mono</w:t>
            </w:r>
          </w:p>
        </w:tc>
        <w:tc>
          <w:tcPr>
            <w:tcW w:type="dxa" w:w="1417"/>
            <w:shd w:fill="F0F4FF"/>
          </w:tcPr>
          <w:p>
            <w:pPr>
              <w:jc w:val="center"/>
            </w:pPr>
            <w:r>
              <w:rPr>
                <w:rFonts w:ascii="Arial" w:hAnsi="Arial"/>
                <w:sz w:val="18"/>
              </w:rPr>
              <w:t>Yes</w:t>
            </w:r>
          </w:p>
        </w:tc>
        <w:tc>
          <w:tcPr>
            <w:tcW w:type="dxa" w:w="1417"/>
            <w:shd w:fill="F0F4FF"/>
          </w:tcPr>
          <w:p>
            <w:pPr>
              <w:jc w:val="center"/>
            </w:pPr>
            <w:r>
              <w:rPr>
                <w:rFonts w:ascii="Arial" w:hAnsi="Arial"/>
                <w:sz w:val="18"/>
              </w:rPr>
              <w:t>Yes</w:t>
            </w:r>
          </w:p>
        </w:tc>
      </w:tr>
    </w:tbl>
    <w:p>
      <w:r>
        <w:t>The physician rated the therapy as acceptable, but both AI judges classified it as incorrect. This illustrates how strict semantic matching by AI judges may reject clinically valid alternative therapies that an experienced oncologist would accept.</w:t>
      </w:r>
    </w:p>
    <w:p/>
    <w:p>
      <w:r>
        <w:br w:type="page"/>
      </w:r>
    </w:p>
    <w:p>
      <w:pPr>
        <w:pStyle w:val="Heading1"/>
      </w:pPr>
      <w:r>
        <w:t>11. Judge Score Distributions</w:t>
      </w:r>
    </w:p>
    <w:p>
      <w:r>
        <w:t>Distribution of AI judge scores across all 69 cases and 6 models. This shows how each judge rates different models and the spread of scores across different scoring dimensions.</w:t>
      </w:r>
    </w:p>
    <w:p>
      <w:pPr>
        <w:pStyle w:val="Heading2"/>
      </w:pPr>
      <w:r>
        <w:t>Overall Score by Model and Judge</w:t>
      </w:r>
    </w:p>
    <w:p>
      <w:pPr>
        <w:jc w:val="center"/>
      </w:pPr>
      <w:r>
        <w:drawing>
          <wp:inline xmlns:a="http://schemas.openxmlformats.org/drawingml/2006/main" xmlns:pic="http://schemas.openxmlformats.org/drawingml/2006/picture">
            <wp:extent cx="5486400" cy="2391747"/>
            <wp:docPr id="6" name="Picture 6"/>
            <wp:cNvGraphicFramePr>
              <a:graphicFrameLocks noChangeAspect="1"/>
            </wp:cNvGraphicFramePr>
            <a:graphic>
              <a:graphicData uri="http://schemas.openxmlformats.org/drawingml/2006/picture">
                <pic:pic>
                  <pic:nvPicPr>
                    <pic:cNvPr id="0" name="score_distributions.png"/>
                    <pic:cNvPicPr/>
                  </pic:nvPicPr>
                  <pic:blipFill>
                    <a:blip r:embed="rId14"/>
                    <a:stretch>
                      <a:fillRect/>
                    </a:stretch>
                  </pic:blipFill>
                  <pic:spPr>
                    <a:xfrm>
                      <a:off x="0" y="0"/>
                      <a:ext cx="5486400" cy="2391747"/>
                    </a:xfrm>
                    <a:prstGeom prst="rect"/>
                  </pic:spPr>
                </pic:pic>
              </a:graphicData>
            </a:graphic>
          </wp:inline>
        </w:drawing>
      </w:r>
    </w:p>
    <w:p>
      <w:pPr>
        <w:pStyle w:val="Heading2"/>
      </w:pPr>
      <w:r>
        <w:t>Score Types by Judge</w:t>
      </w:r>
    </w:p>
    <w:p>
      <w:pPr>
        <w:jc w:val="center"/>
      </w:pPr>
      <w:r>
        <w:drawing>
          <wp:inline xmlns:a="http://schemas.openxmlformats.org/drawingml/2006/main" xmlns:pic="http://schemas.openxmlformats.org/drawingml/2006/picture">
            <wp:extent cx="5486400" cy="1625600"/>
            <wp:docPr id="7" name="Picture 7"/>
            <wp:cNvGraphicFramePr>
              <a:graphicFrameLocks noChangeAspect="1"/>
            </wp:cNvGraphicFramePr>
            <a:graphic>
              <a:graphicData uri="http://schemas.openxmlformats.org/drawingml/2006/picture">
                <pic:pic>
                  <pic:nvPicPr>
                    <pic:cNvPr id="0" name="score_types.png"/>
                    <pic:cNvPicPr/>
                  </pic:nvPicPr>
                  <pic:blipFill>
                    <a:blip r:embed="rId15"/>
                    <a:stretch>
                      <a:fillRect/>
                    </a:stretch>
                  </pic:blipFill>
                  <pic:spPr>
                    <a:xfrm>
                      <a:off x="0" y="0"/>
                      <a:ext cx="5486400" cy="1625600"/>
                    </a:xfrm>
                    <a:prstGeom prst="rect"/>
                  </pic:spPr>
                </pic:pic>
              </a:graphicData>
            </a:graphic>
          </wp:inline>
        </w:drawing>
      </w:r>
    </w:p>
    <w:p>
      <w:pPr>
        <w:pStyle w:val="Heading2"/>
      </w:pPr>
      <w:r>
        <w:t>Distribution Summary</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fill="1E40AF"/>
          </w:tcPr>
          <w:p>
            <w:pPr>
              <w:jc w:val="center"/>
            </w:pPr>
            <w:r>
              <w:rPr>
                <w:rFonts w:ascii="Arial" w:hAnsi="Arial"/>
                <w:b/>
                <w:color w:val="FFFFFF"/>
                <w:sz w:val="18"/>
              </w:rPr>
              <w:t>Judge</w:t>
            </w:r>
          </w:p>
        </w:tc>
        <w:tc>
          <w:tcPr>
            <w:tcW w:type="dxa" w:w="1417"/>
            <w:shd w:fill="1E40AF"/>
          </w:tcPr>
          <w:p>
            <w:pPr>
              <w:jc w:val="center"/>
            </w:pPr>
            <w:r>
              <w:rPr>
                <w:rFonts w:ascii="Arial" w:hAnsi="Arial"/>
                <w:b/>
                <w:color w:val="FFFFFF"/>
                <w:sz w:val="18"/>
              </w:rPr>
              <w:t>Score Type</w:t>
            </w:r>
          </w:p>
        </w:tc>
        <w:tc>
          <w:tcPr>
            <w:tcW w:type="dxa" w:w="1134"/>
            <w:shd w:fill="1E40AF"/>
          </w:tcPr>
          <w:p>
            <w:pPr>
              <w:jc w:val="center"/>
            </w:pPr>
            <w:r>
              <w:rPr>
                <w:rFonts w:ascii="Arial" w:hAnsi="Arial"/>
                <w:b/>
                <w:color w:val="FFFFFF"/>
                <w:sz w:val="18"/>
              </w:rPr>
              <w:t>Mean</w:t>
            </w:r>
          </w:p>
        </w:tc>
        <w:tc>
          <w:tcPr>
            <w:tcW w:type="dxa" w:w="1134"/>
            <w:shd w:fill="1E40AF"/>
          </w:tcPr>
          <w:p>
            <w:pPr>
              <w:jc w:val="center"/>
            </w:pPr>
            <w:r>
              <w:rPr>
                <w:rFonts w:ascii="Arial" w:hAnsi="Arial"/>
                <w:b/>
                <w:color w:val="FFFFFF"/>
                <w:sz w:val="18"/>
              </w:rPr>
              <w:t>Median</w:t>
            </w:r>
          </w:p>
        </w:tc>
        <w:tc>
          <w:tcPr>
            <w:tcW w:type="dxa" w:w="1134"/>
            <w:shd w:fill="1E40AF"/>
          </w:tcPr>
          <w:p>
            <w:pPr>
              <w:jc w:val="center"/>
            </w:pPr>
            <w:r>
              <w:rPr>
                <w:rFonts w:ascii="Arial" w:hAnsi="Arial"/>
                <w:b/>
                <w:color w:val="FFFFFF"/>
                <w:sz w:val="18"/>
              </w:rPr>
              <w:t>Std Dev</w:t>
            </w:r>
          </w:p>
        </w:tc>
        <w:tc>
          <w:tcPr>
            <w:tcW w:type="dxa" w:w="850"/>
            <w:shd w:fill="1E40AF"/>
          </w:tcPr>
          <w:p>
            <w:pPr>
              <w:jc w:val="center"/>
            </w:pPr>
            <w:r>
              <w:rPr>
                <w:rFonts w:ascii="Arial" w:hAnsi="Arial"/>
                <w:b/>
                <w:color w:val="FFFFFF"/>
                <w:sz w:val="18"/>
              </w:rPr>
              <w:t>Min</w:t>
            </w:r>
          </w:p>
        </w:tc>
        <w:tc>
          <w:tcPr>
            <w:tcW w:type="dxa" w:w="850"/>
            <w:shd w:fill="1E40AF"/>
          </w:tcPr>
          <w:p>
            <w:pPr>
              <w:jc w:val="center"/>
            </w:pPr>
            <w:r>
              <w:rPr>
                <w:rFonts w:ascii="Arial" w:hAnsi="Arial"/>
                <w:b/>
                <w:color w:val="FFFFFF"/>
                <w:sz w:val="18"/>
              </w:rPr>
              <w:t>Max</w:t>
            </w:r>
          </w:p>
        </w:tc>
      </w:tr>
      <w:tr>
        <w:tc>
          <w:tcPr>
            <w:tcW w:type="dxa" w:w="1701"/>
          </w:tcPr>
          <w:p>
            <w:pPr>
              <w:jc w:val="center"/>
            </w:pPr>
            <w:r>
              <w:rPr>
                <w:rFonts w:ascii="Arial" w:hAnsi="Arial"/>
                <w:sz w:val="18"/>
              </w:rPr>
              <w:t>GPT-5.2</w:t>
            </w:r>
          </w:p>
        </w:tc>
        <w:tc>
          <w:tcPr>
            <w:tcW w:type="dxa" w:w="1417"/>
          </w:tcPr>
          <w:p>
            <w:pPr>
              <w:jc w:val="center"/>
            </w:pPr>
            <w:r>
              <w:rPr>
                <w:rFonts w:ascii="Arial" w:hAnsi="Arial"/>
                <w:sz w:val="18"/>
              </w:rPr>
              <w:t>Semantic</w:t>
            </w:r>
          </w:p>
        </w:tc>
        <w:tc>
          <w:tcPr>
            <w:tcW w:type="dxa" w:w="1134"/>
          </w:tcPr>
          <w:p>
            <w:pPr>
              <w:jc w:val="center"/>
            </w:pPr>
            <w:r>
              <w:rPr>
                <w:rFonts w:ascii="Arial" w:hAnsi="Arial"/>
                <w:sz w:val="18"/>
              </w:rPr>
              <w:t>0.651</w:t>
            </w:r>
          </w:p>
        </w:tc>
        <w:tc>
          <w:tcPr>
            <w:tcW w:type="dxa" w:w="1134"/>
          </w:tcPr>
          <w:p>
            <w:pPr>
              <w:jc w:val="center"/>
            </w:pPr>
            <w:r>
              <w:rPr>
                <w:rFonts w:ascii="Arial" w:hAnsi="Arial"/>
                <w:sz w:val="18"/>
              </w:rPr>
              <w:t>0.820</w:t>
            </w:r>
          </w:p>
        </w:tc>
        <w:tc>
          <w:tcPr>
            <w:tcW w:type="dxa" w:w="1134"/>
          </w:tcPr>
          <w:p>
            <w:pPr>
              <w:jc w:val="center"/>
            </w:pPr>
            <w:r>
              <w:rPr>
                <w:rFonts w:ascii="Arial" w:hAnsi="Arial"/>
                <w:sz w:val="18"/>
              </w:rPr>
              <w:t>0.317</w:t>
            </w:r>
          </w:p>
        </w:tc>
        <w:tc>
          <w:tcPr>
            <w:tcW w:type="dxa" w:w="850"/>
          </w:tcPr>
          <w:p>
            <w:pPr>
              <w:jc w:val="center"/>
            </w:pPr>
            <w:r>
              <w:rPr>
                <w:rFonts w:ascii="Arial" w:hAnsi="Arial"/>
                <w:sz w:val="18"/>
              </w:rPr>
              <w:t>0.00</w:t>
            </w:r>
          </w:p>
        </w:tc>
        <w:tc>
          <w:tcPr>
            <w:tcW w:type="dxa" w:w="850"/>
          </w:tcPr>
          <w:p>
            <w:pPr>
              <w:jc w:val="center"/>
            </w:pPr>
            <w:r>
              <w:rPr>
                <w:rFonts w:ascii="Arial" w:hAnsi="Arial"/>
                <w:sz w:val="18"/>
              </w:rPr>
              <w:t>1.00</w:t>
            </w:r>
          </w:p>
        </w:tc>
      </w:tr>
      <w:tr>
        <w:tc>
          <w:tcPr>
            <w:tcW w:type="dxa" w:w="1701"/>
            <w:shd w:fill="F0F4FF"/>
          </w:tcPr>
          <w:p>
            <w:pPr>
              <w:jc w:val="center"/>
            </w:pPr>
            <w:r>
              <w:rPr>
                <w:rFonts w:ascii="Arial" w:hAnsi="Arial"/>
                <w:sz w:val="18"/>
              </w:rPr>
              <w:t>GPT-5.2</w:t>
            </w:r>
          </w:p>
        </w:tc>
        <w:tc>
          <w:tcPr>
            <w:tcW w:type="dxa" w:w="1417"/>
            <w:shd w:fill="F0F4FF"/>
          </w:tcPr>
          <w:p>
            <w:pPr>
              <w:jc w:val="center"/>
            </w:pPr>
            <w:r>
              <w:rPr>
                <w:rFonts w:ascii="Arial" w:hAnsi="Arial"/>
                <w:sz w:val="18"/>
              </w:rPr>
              <w:t>Clinical</w:t>
            </w:r>
          </w:p>
        </w:tc>
        <w:tc>
          <w:tcPr>
            <w:tcW w:type="dxa" w:w="1134"/>
            <w:shd w:fill="F0F4FF"/>
          </w:tcPr>
          <w:p>
            <w:pPr>
              <w:jc w:val="center"/>
            </w:pPr>
            <w:r>
              <w:rPr>
                <w:rFonts w:ascii="Arial" w:hAnsi="Arial"/>
                <w:sz w:val="18"/>
              </w:rPr>
              <w:t>0.722</w:t>
            </w:r>
          </w:p>
        </w:tc>
        <w:tc>
          <w:tcPr>
            <w:tcW w:type="dxa" w:w="1134"/>
            <w:shd w:fill="F0F4FF"/>
          </w:tcPr>
          <w:p>
            <w:pPr>
              <w:jc w:val="center"/>
            </w:pPr>
            <w:r>
              <w:rPr>
                <w:rFonts w:ascii="Arial" w:hAnsi="Arial"/>
                <w:sz w:val="18"/>
              </w:rPr>
              <w:t>0.835</w:t>
            </w:r>
          </w:p>
        </w:tc>
        <w:tc>
          <w:tcPr>
            <w:tcW w:type="dxa" w:w="1134"/>
            <w:shd w:fill="F0F4FF"/>
          </w:tcPr>
          <w:p>
            <w:pPr>
              <w:jc w:val="center"/>
            </w:pPr>
            <w:r>
              <w:rPr>
                <w:rFonts w:ascii="Arial" w:hAnsi="Arial"/>
                <w:sz w:val="18"/>
              </w:rPr>
              <w:t>0.237</w:t>
            </w:r>
          </w:p>
        </w:tc>
        <w:tc>
          <w:tcPr>
            <w:tcW w:type="dxa" w:w="850"/>
            <w:shd w:fill="F0F4FF"/>
          </w:tcPr>
          <w:p>
            <w:pPr>
              <w:jc w:val="center"/>
            </w:pPr>
            <w:r>
              <w:rPr>
                <w:rFonts w:ascii="Arial" w:hAnsi="Arial"/>
                <w:sz w:val="18"/>
              </w:rPr>
              <w:t>0.10</w:t>
            </w:r>
          </w:p>
        </w:tc>
        <w:tc>
          <w:tcPr>
            <w:tcW w:type="dxa" w:w="850"/>
            <w:shd w:fill="F0F4FF"/>
          </w:tcPr>
          <w:p>
            <w:pPr>
              <w:jc w:val="center"/>
            </w:pPr>
            <w:r>
              <w:rPr>
                <w:rFonts w:ascii="Arial" w:hAnsi="Arial"/>
                <w:sz w:val="18"/>
              </w:rPr>
              <w:t>0.95</w:t>
            </w:r>
          </w:p>
        </w:tc>
      </w:tr>
      <w:tr>
        <w:tc>
          <w:tcPr>
            <w:tcW w:type="dxa" w:w="1701"/>
          </w:tcPr>
          <w:p>
            <w:pPr>
              <w:jc w:val="center"/>
            </w:pPr>
            <w:r>
              <w:rPr>
                <w:rFonts w:ascii="Arial" w:hAnsi="Arial"/>
                <w:sz w:val="18"/>
              </w:rPr>
              <w:t>GPT-5.2</w:t>
            </w:r>
          </w:p>
        </w:tc>
        <w:tc>
          <w:tcPr>
            <w:tcW w:type="dxa" w:w="1417"/>
          </w:tcPr>
          <w:p>
            <w:pPr>
              <w:jc w:val="center"/>
            </w:pPr>
            <w:r>
              <w:rPr>
                <w:rFonts w:ascii="Arial" w:hAnsi="Arial"/>
                <w:sz w:val="18"/>
              </w:rPr>
              <w:t>Reasoning</w:t>
            </w:r>
          </w:p>
        </w:tc>
        <w:tc>
          <w:tcPr>
            <w:tcW w:type="dxa" w:w="1134"/>
          </w:tcPr>
          <w:p>
            <w:pPr>
              <w:jc w:val="center"/>
            </w:pPr>
            <w:r>
              <w:rPr>
                <w:rFonts w:ascii="Arial" w:hAnsi="Arial"/>
                <w:sz w:val="18"/>
              </w:rPr>
              <w:t>0.545</w:t>
            </w:r>
          </w:p>
        </w:tc>
        <w:tc>
          <w:tcPr>
            <w:tcW w:type="dxa" w:w="1134"/>
          </w:tcPr>
          <w:p>
            <w:pPr>
              <w:jc w:val="center"/>
            </w:pPr>
            <w:r>
              <w:rPr>
                <w:rFonts w:ascii="Arial" w:hAnsi="Arial"/>
                <w:sz w:val="18"/>
              </w:rPr>
              <w:t>0.600</w:t>
            </w:r>
          </w:p>
        </w:tc>
        <w:tc>
          <w:tcPr>
            <w:tcW w:type="dxa" w:w="1134"/>
          </w:tcPr>
          <w:p>
            <w:pPr>
              <w:jc w:val="center"/>
            </w:pPr>
            <w:r>
              <w:rPr>
                <w:rFonts w:ascii="Arial" w:hAnsi="Arial"/>
                <w:sz w:val="18"/>
              </w:rPr>
              <w:t>0.182</w:t>
            </w:r>
          </w:p>
        </w:tc>
        <w:tc>
          <w:tcPr>
            <w:tcW w:type="dxa" w:w="850"/>
          </w:tcPr>
          <w:p>
            <w:pPr>
              <w:jc w:val="center"/>
            </w:pPr>
            <w:r>
              <w:rPr>
                <w:rFonts w:ascii="Arial" w:hAnsi="Arial"/>
                <w:sz w:val="18"/>
              </w:rPr>
              <w:t>0.10</w:t>
            </w:r>
          </w:p>
        </w:tc>
        <w:tc>
          <w:tcPr>
            <w:tcW w:type="dxa" w:w="850"/>
          </w:tcPr>
          <w:p>
            <w:pPr>
              <w:jc w:val="center"/>
            </w:pPr>
            <w:r>
              <w:rPr>
                <w:rFonts w:ascii="Arial" w:hAnsi="Arial"/>
                <w:sz w:val="18"/>
              </w:rPr>
              <w:t>0.88</w:t>
            </w:r>
          </w:p>
        </w:tc>
      </w:tr>
      <w:tr>
        <w:tc>
          <w:tcPr>
            <w:tcW w:type="dxa" w:w="1701"/>
            <w:shd w:fill="F0F4FF"/>
          </w:tcPr>
          <w:p>
            <w:pPr>
              <w:jc w:val="center"/>
            </w:pPr>
            <w:r>
              <w:rPr>
                <w:rFonts w:ascii="Arial" w:hAnsi="Arial"/>
                <w:sz w:val="18"/>
              </w:rPr>
              <w:t>GPT-5.2</w:t>
            </w:r>
          </w:p>
        </w:tc>
        <w:tc>
          <w:tcPr>
            <w:tcW w:type="dxa" w:w="1417"/>
            <w:shd w:fill="F0F4FF"/>
          </w:tcPr>
          <w:p>
            <w:pPr>
              <w:jc w:val="center"/>
            </w:pPr>
            <w:r>
              <w:rPr>
                <w:rFonts w:ascii="Arial" w:hAnsi="Arial"/>
                <w:sz w:val="18"/>
              </w:rPr>
              <w:t>Overall</w:t>
            </w:r>
          </w:p>
        </w:tc>
        <w:tc>
          <w:tcPr>
            <w:tcW w:type="dxa" w:w="1134"/>
            <w:shd w:fill="F0F4FF"/>
          </w:tcPr>
          <w:p>
            <w:pPr>
              <w:jc w:val="center"/>
            </w:pPr>
            <w:r>
              <w:rPr>
                <w:rFonts w:ascii="Arial" w:hAnsi="Arial"/>
                <w:sz w:val="18"/>
              </w:rPr>
              <w:t>0.658</w:t>
            </w:r>
          </w:p>
        </w:tc>
        <w:tc>
          <w:tcPr>
            <w:tcW w:type="dxa" w:w="1134"/>
            <w:shd w:fill="F0F4FF"/>
          </w:tcPr>
          <w:p>
            <w:pPr>
              <w:jc w:val="center"/>
            </w:pPr>
            <w:r>
              <w:rPr>
                <w:rFonts w:ascii="Arial" w:hAnsi="Arial"/>
                <w:sz w:val="18"/>
              </w:rPr>
              <w:t>0.760</w:t>
            </w:r>
          </w:p>
        </w:tc>
        <w:tc>
          <w:tcPr>
            <w:tcW w:type="dxa" w:w="1134"/>
            <w:shd w:fill="F0F4FF"/>
          </w:tcPr>
          <w:p>
            <w:pPr>
              <w:jc w:val="center"/>
            </w:pPr>
            <w:r>
              <w:rPr>
                <w:rFonts w:ascii="Arial" w:hAnsi="Arial"/>
                <w:sz w:val="18"/>
              </w:rPr>
              <w:t>0.248</w:t>
            </w:r>
          </w:p>
        </w:tc>
        <w:tc>
          <w:tcPr>
            <w:tcW w:type="dxa" w:w="850"/>
            <w:shd w:fill="F0F4FF"/>
          </w:tcPr>
          <w:p>
            <w:pPr>
              <w:jc w:val="center"/>
            </w:pPr>
            <w:r>
              <w:rPr>
                <w:rFonts w:ascii="Arial" w:hAnsi="Arial"/>
                <w:sz w:val="18"/>
              </w:rPr>
              <w:t>0.08</w:t>
            </w:r>
          </w:p>
        </w:tc>
        <w:tc>
          <w:tcPr>
            <w:tcW w:type="dxa" w:w="850"/>
            <w:shd w:fill="F0F4FF"/>
          </w:tcPr>
          <w:p>
            <w:pPr>
              <w:jc w:val="center"/>
            </w:pPr>
            <w:r>
              <w:rPr>
                <w:rFonts w:ascii="Arial" w:hAnsi="Arial"/>
                <w:sz w:val="18"/>
              </w:rPr>
              <w:t>0.96</w:t>
            </w:r>
          </w:p>
        </w:tc>
      </w:tr>
      <w:tr>
        <w:tc>
          <w:tcPr>
            <w:tcW w:type="dxa" w:w="1701"/>
          </w:tcPr>
          <w:p>
            <w:pPr>
              <w:jc w:val="center"/>
            </w:pPr>
            <w:r>
              <w:rPr>
                <w:rFonts w:ascii="Arial" w:hAnsi="Arial"/>
                <w:sz w:val="18"/>
              </w:rPr>
              <w:t>MedGemma 27B</w:t>
            </w:r>
          </w:p>
        </w:tc>
        <w:tc>
          <w:tcPr>
            <w:tcW w:type="dxa" w:w="1417"/>
          </w:tcPr>
          <w:p>
            <w:pPr>
              <w:jc w:val="center"/>
            </w:pPr>
            <w:r>
              <w:rPr>
                <w:rFonts w:ascii="Arial" w:hAnsi="Arial"/>
                <w:sz w:val="18"/>
              </w:rPr>
              <w:t>Semantic</w:t>
            </w:r>
          </w:p>
        </w:tc>
        <w:tc>
          <w:tcPr>
            <w:tcW w:type="dxa" w:w="1134"/>
          </w:tcPr>
          <w:p>
            <w:pPr>
              <w:jc w:val="center"/>
            </w:pPr>
            <w:r>
              <w:rPr>
                <w:rFonts w:ascii="Arial" w:hAnsi="Arial"/>
                <w:sz w:val="18"/>
              </w:rPr>
              <w:t>0.671</w:t>
            </w:r>
          </w:p>
        </w:tc>
        <w:tc>
          <w:tcPr>
            <w:tcW w:type="dxa" w:w="1134"/>
          </w:tcPr>
          <w:p>
            <w:pPr>
              <w:jc w:val="center"/>
            </w:pPr>
            <w:r>
              <w:rPr>
                <w:rFonts w:ascii="Arial" w:hAnsi="Arial"/>
                <w:sz w:val="18"/>
              </w:rPr>
              <w:t>0.900</w:t>
            </w:r>
          </w:p>
        </w:tc>
        <w:tc>
          <w:tcPr>
            <w:tcW w:type="dxa" w:w="1134"/>
          </w:tcPr>
          <w:p>
            <w:pPr>
              <w:jc w:val="center"/>
            </w:pPr>
            <w:r>
              <w:rPr>
                <w:rFonts w:ascii="Arial" w:hAnsi="Arial"/>
                <w:sz w:val="18"/>
              </w:rPr>
              <w:t>0.362</w:t>
            </w:r>
          </w:p>
        </w:tc>
        <w:tc>
          <w:tcPr>
            <w:tcW w:type="dxa" w:w="850"/>
          </w:tcPr>
          <w:p>
            <w:pPr>
              <w:jc w:val="center"/>
            </w:pPr>
            <w:r>
              <w:rPr>
                <w:rFonts w:ascii="Arial" w:hAnsi="Arial"/>
                <w:sz w:val="18"/>
              </w:rPr>
              <w:t>0.00</w:t>
            </w:r>
          </w:p>
        </w:tc>
        <w:tc>
          <w:tcPr>
            <w:tcW w:type="dxa" w:w="850"/>
          </w:tcPr>
          <w:p>
            <w:pPr>
              <w:jc w:val="center"/>
            </w:pPr>
            <w:r>
              <w:rPr>
                <w:rFonts w:ascii="Arial" w:hAnsi="Arial"/>
                <w:sz w:val="18"/>
              </w:rPr>
              <w:t>1.00</w:t>
            </w:r>
          </w:p>
        </w:tc>
      </w:tr>
      <w:tr>
        <w:tc>
          <w:tcPr>
            <w:tcW w:type="dxa" w:w="1701"/>
            <w:shd w:fill="F0F4FF"/>
          </w:tcPr>
          <w:p>
            <w:pPr>
              <w:jc w:val="center"/>
            </w:pPr>
            <w:r>
              <w:rPr>
                <w:rFonts w:ascii="Arial" w:hAnsi="Arial"/>
                <w:sz w:val="18"/>
              </w:rPr>
              <w:t>MedGemma 27B</w:t>
            </w:r>
          </w:p>
        </w:tc>
        <w:tc>
          <w:tcPr>
            <w:tcW w:type="dxa" w:w="1417"/>
            <w:shd w:fill="F0F4FF"/>
          </w:tcPr>
          <w:p>
            <w:pPr>
              <w:jc w:val="center"/>
            </w:pPr>
            <w:r>
              <w:rPr>
                <w:rFonts w:ascii="Arial" w:hAnsi="Arial"/>
                <w:sz w:val="18"/>
              </w:rPr>
              <w:t>Clinical</w:t>
            </w:r>
          </w:p>
        </w:tc>
        <w:tc>
          <w:tcPr>
            <w:tcW w:type="dxa" w:w="1134"/>
            <w:shd w:fill="F0F4FF"/>
          </w:tcPr>
          <w:p>
            <w:pPr>
              <w:jc w:val="center"/>
            </w:pPr>
            <w:r>
              <w:rPr>
                <w:rFonts w:ascii="Arial" w:hAnsi="Arial"/>
                <w:sz w:val="18"/>
              </w:rPr>
              <w:t>0.798</w:t>
            </w:r>
          </w:p>
        </w:tc>
        <w:tc>
          <w:tcPr>
            <w:tcW w:type="dxa" w:w="1134"/>
            <w:shd w:fill="F0F4FF"/>
          </w:tcPr>
          <w:p>
            <w:pPr>
              <w:jc w:val="center"/>
            </w:pPr>
            <w:r>
              <w:rPr>
                <w:rFonts w:ascii="Arial" w:hAnsi="Arial"/>
                <w:sz w:val="18"/>
              </w:rPr>
              <w:t>0.900</w:t>
            </w:r>
          </w:p>
        </w:tc>
        <w:tc>
          <w:tcPr>
            <w:tcW w:type="dxa" w:w="1134"/>
            <w:shd w:fill="F0F4FF"/>
          </w:tcPr>
          <w:p>
            <w:pPr>
              <w:jc w:val="center"/>
            </w:pPr>
            <w:r>
              <w:rPr>
                <w:rFonts w:ascii="Arial" w:hAnsi="Arial"/>
                <w:sz w:val="18"/>
              </w:rPr>
              <w:t>0.227</w:t>
            </w:r>
          </w:p>
        </w:tc>
        <w:tc>
          <w:tcPr>
            <w:tcW w:type="dxa" w:w="850"/>
            <w:shd w:fill="F0F4FF"/>
          </w:tcPr>
          <w:p>
            <w:pPr>
              <w:jc w:val="center"/>
            </w:pPr>
            <w:r>
              <w:rPr>
                <w:rFonts w:ascii="Arial" w:hAnsi="Arial"/>
                <w:sz w:val="18"/>
              </w:rPr>
              <w:t>0.00</w:t>
            </w:r>
          </w:p>
        </w:tc>
        <w:tc>
          <w:tcPr>
            <w:tcW w:type="dxa" w:w="850"/>
            <w:shd w:fill="F0F4FF"/>
          </w:tcPr>
          <w:p>
            <w:pPr>
              <w:jc w:val="center"/>
            </w:pPr>
            <w:r>
              <w:rPr>
                <w:rFonts w:ascii="Arial" w:hAnsi="Arial"/>
                <w:sz w:val="18"/>
              </w:rPr>
              <w:t>1.00</w:t>
            </w:r>
          </w:p>
        </w:tc>
      </w:tr>
      <w:tr>
        <w:tc>
          <w:tcPr>
            <w:tcW w:type="dxa" w:w="1701"/>
          </w:tcPr>
          <w:p>
            <w:pPr>
              <w:jc w:val="center"/>
            </w:pPr>
            <w:r>
              <w:rPr>
                <w:rFonts w:ascii="Arial" w:hAnsi="Arial"/>
                <w:sz w:val="18"/>
              </w:rPr>
              <w:t>MedGemma 27B</w:t>
            </w:r>
          </w:p>
        </w:tc>
        <w:tc>
          <w:tcPr>
            <w:tcW w:type="dxa" w:w="1417"/>
          </w:tcPr>
          <w:p>
            <w:pPr>
              <w:jc w:val="center"/>
            </w:pPr>
            <w:r>
              <w:rPr>
                <w:rFonts w:ascii="Arial" w:hAnsi="Arial"/>
                <w:sz w:val="18"/>
              </w:rPr>
              <w:t>Reasoning</w:t>
            </w:r>
          </w:p>
        </w:tc>
        <w:tc>
          <w:tcPr>
            <w:tcW w:type="dxa" w:w="1134"/>
          </w:tcPr>
          <w:p>
            <w:pPr>
              <w:jc w:val="center"/>
            </w:pPr>
            <w:r>
              <w:rPr>
                <w:rFonts w:ascii="Arial" w:hAnsi="Arial"/>
                <w:sz w:val="18"/>
              </w:rPr>
              <w:t>0.712</w:t>
            </w:r>
          </w:p>
        </w:tc>
        <w:tc>
          <w:tcPr>
            <w:tcW w:type="dxa" w:w="1134"/>
          </w:tcPr>
          <w:p>
            <w:pPr>
              <w:jc w:val="center"/>
            </w:pPr>
            <w:r>
              <w:rPr>
                <w:rFonts w:ascii="Arial" w:hAnsi="Arial"/>
                <w:sz w:val="18"/>
              </w:rPr>
              <w:t>0.700</w:t>
            </w:r>
          </w:p>
        </w:tc>
        <w:tc>
          <w:tcPr>
            <w:tcW w:type="dxa" w:w="1134"/>
          </w:tcPr>
          <w:p>
            <w:pPr>
              <w:jc w:val="center"/>
            </w:pPr>
            <w:r>
              <w:rPr>
                <w:rFonts w:ascii="Arial" w:hAnsi="Arial"/>
                <w:sz w:val="18"/>
              </w:rPr>
              <w:t>0.145</w:t>
            </w:r>
          </w:p>
        </w:tc>
        <w:tc>
          <w:tcPr>
            <w:tcW w:type="dxa" w:w="850"/>
          </w:tcPr>
          <w:p>
            <w:pPr>
              <w:jc w:val="center"/>
            </w:pPr>
            <w:r>
              <w:rPr>
                <w:rFonts w:ascii="Arial" w:hAnsi="Arial"/>
                <w:sz w:val="18"/>
              </w:rPr>
              <w:t>0.10</w:t>
            </w:r>
          </w:p>
        </w:tc>
        <w:tc>
          <w:tcPr>
            <w:tcW w:type="dxa" w:w="850"/>
          </w:tcPr>
          <w:p>
            <w:pPr>
              <w:jc w:val="center"/>
            </w:pPr>
            <w:r>
              <w:rPr>
                <w:rFonts w:ascii="Arial" w:hAnsi="Arial"/>
                <w:sz w:val="18"/>
              </w:rPr>
              <w:t>0.90</w:t>
            </w:r>
          </w:p>
        </w:tc>
      </w:tr>
      <w:tr>
        <w:tc>
          <w:tcPr>
            <w:tcW w:type="dxa" w:w="1701"/>
            <w:shd w:fill="F0F4FF"/>
          </w:tcPr>
          <w:p>
            <w:pPr>
              <w:jc w:val="center"/>
            </w:pPr>
            <w:r>
              <w:rPr>
                <w:rFonts w:ascii="Arial" w:hAnsi="Arial"/>
                <w:sz w:val="18"/>
              </w:rPr>
              <w:t>MedGemma 27B</w:t>
            </w:r>
          </w:p>
        </w:tc>
        <w:tc>
          <w:tcPr>
            <w:tcW w:type="dxa" w:w="1417"/>
            <w:shd w:fill="F0F4FF"/>
          </w:tcPr>
          <w:p>
            <w:pPr>
              <w:jc w:val="center"/>
            </w:pPr>
            <w:r>
              <w:rPr>
                <w:rFonts w:ascii="Arial" w:hAnsi="Arial"/>
                <w:sz w:val="18"/>
              </w:rPr>
              <w:t>Overall</w:t>
            </w:r>
          </w:p>
        </w:tc>
        <w:tc>
          <w:tcPr>
            <w:tcW w:type="dxa" w:w="1134"/>
            <w:shd w:fill="F0F4FF"/>
          </w:tcPr>
          <w:p>
            <w:pPr>
              <w:jc w:val="center"/>
            </w:pPr>
            <w:r>
              <w:rPr>
                <w:rFonts w:ascii="Arial" w:hAnsi="Arial"/>
                <w:sz w:val="18"/>
              </w:rPr>
              <w:t>0.708</w:t>
            </w:r>
          </w:p>
        </w:tc>
        <w:tc>
          <w:tcPr>
            <w:tcW w:type="dxa" w:w="1134"/>
            <w:shd w:fill="F0F4FF"/>
          </w:tcPr>
          <w:p>
            <w:pPr>
              <w:jc w:val="center"/>
            </w:pPr>
            <w:r>
              <w:rPr>
                <w:rFonts w:ascii="Arial" w:hAnsi="Arial"/>
                <w:sz w:val="18"/>
              </w:rPr>
              <w:t>0.810</w:t>
            </w:r>
          </w:p>
        </w:tc>
        <w:tc>
          <w:tcPr>
            <w:tcW w:type="dxa" w:w="1134"/>
            <w:shd w:fill="F0F4FF"/>
          </w:tcPr>
          <w:p>
            <w:pPr>
              <w:jc w:val="center"/>
            </w:pPr>
            <w:r>
              <w:rPr>
                <w:rFonts w:ascii="Arial" w:hAnsi="Arial"/>
                <w:sz w:val="18"/>
              </w:rPr>
              <w:t>0.218</w:t>
            </w:r>
          </w:p>
        </w:tc>
        <w:tc>
          <w:tcPr>
            <w:tcW w:type="dxa" w:w="850"/>
            <w:shd w:fill="F0F4FF"/>
          </w:tcPr>
          <w:p>
            <w:pPr>
              <w:jc w:val="center"/>
            </w:pPr>
            <w:r>
              <w:rPr>
                <w:rFonts w:ascii="Arial" w:hAnsi="Arial"/>
                <w:sz w:val="18"/>
              </w:rPr>
              <w:t>0.07</w:t>
            </w:r>
          </w:p>
        </w:tc>
        <w:tc>
          <w:tcPr>
            <w:tcW w:type="dxa" w:w="850"/>
            <w:shd w:fill="F0F4FF"/>
          </w:tcPr>
          <w:p>
            <w:pPr>
              <w:jc w:val="center"/>
            </w:pPr>
            <w:r>
              <w:rPr>
                <w:rFonts w:ascii="Arial" w:hAnsi="Arial"/>
                <w:sz w:val="18"/>
              </w:rPr>
              <w:t>0.98</w:t>
            </w:r>
          </w:p>
        </w:tc>
      </w:tr>
    </w:tbl>
    <w:p>
      <w:r>
        <w:br w:type="page"/>
      </w:r>
    </w:p>
    <w:p>
      <w:pPr>
        <w:pStyle w:val="Heading1"/>
      </w:pPr>
      <w:r>
        <w:t>12. Agreement: Uro-Oncologist vs AI Judge</w:t>
      </w:r>
    </w:p>
    <w:p>
      <w:r>
        <w:t>Agreement analysis based on 69 cases with complete uro-oncologist reviews and judge evaluations (407 prediction–evaluation pairs per judge). Cohen's Kappa measures agreement beyond chance between the uro-oncologist's therapy acceptability rating and the judge's correctness verdict.</w:t>
      </w:r>
    </w:p>
    <w:p>
      <w:pPr>
        <w:pStyle w:val="Heading2"/>
      </w:pPr>
      <w:r>
        <w:t>Confusion Matrices</w:t>
      </w:r>
    </w:p>
    <w:p>
      <w:pPr>
        <w:jc w:val="center"/>
      </w:pPr>
      <w:r>
        <w:drawing>
          <wp:inline xmlns:a="http://schemas.openxmlformats.org/drawingml/2006/main" xmlns:pic="http://schemas.openxmlformats.org/drawingml/2006/picture">
            <wp:extent cx="5486400" cy="2282906"/>
            <wp:docPr id="8" name="Picture 8"/>
            <wp:cNvGraphicFramePr>
              <a:graphicFrameLocks noChangeAspect="1"/>
            </wp:cNvGraphicFramePr>
            <a:graphic>
              <a:graphicData uri="http://schemas.openxmlformats.org/drawingml/2006/picture">
                <pic:pic>
                  <pic:nvPicPr>
                    <pic:cNvPr id="0" name="confusion_matrices.png"/>
                    <pic:cNvPicPr/>
                  </pic:nvPicPr>
                  <pic:blipFill>
                    <a:blip r:embed="rId16"/>
                    <a:stretch>
                      <a:fillRect/>
                    </a:stretch>
                  </pic:blipFill>
                  <pic:spPr>
                    <a:xfrm>
                      <a:off x="0" y="0"/>
                      <a:ext cx="5486400" cy="2282906"/>
                    </a:xfrm>
                    <a:prstGeom prst="rect"/>
                  </pic:spPr>
                </pic:pic>
              </a:graphicData>
            </a:graphic>
          </wp:inline>
        </w:drawing>
      </w:r>
    </w:p>
    <w:p>
      <w:pPr>
        <w:pStyle w:val="Heading2"/>
      </w:pPr>
      <w:r>
        <w:t>Agreement Metrics</w:t>
      </w:r>
    </w:p>
    <w:tbl>
      <w:tblPr>
        <w:tblW w:type="auto" w:w="0"/>
        <w:jc w:val="center"/>
        <w:tblLook w:firstColumn="1" w:firstRow="1" w:lastColumn="0" w:lastRow="0" w:noHBand="0" w:noVBand="1" w:val="04A0"/>
      </w:tblPr>
      <w:tblGrid>
        <w:gridCol w:w="2880"/>
        <w:gridCol w:w="2880"/>
        <w:gridCol w:w="2880"/>
      </w:tblGrid>
      <w:tr>
        <w:tc>
          <w:tcPr>
            <w:tcW w:type="dxa" w:w="2268"/>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GPT-5.2</w:t>
            </w:r>
          </w:p>
        </w:tc>
        <w:tc>
          <w:tcPr>
            <w:tcW w:type="dxa" w:w="2268"/>
            <w:shd w:fill="1E40AF"/>
          </w:tcPr>
          <w:p>
            <w:pPr>
              <w:jc w:val="center"/>
            </w:pPr>
            <w:r>
              <w:rPr>
                <w:rFonts w:ascii="Arial" w:hAnsi="Arial"/>
                <w:b/>
                <w:color w:val="FFFFFF"/>
                <w:sz w:val="18"/>
              </w:rPr>
              <w:t>MedGemma 27B</w:t>
            </w:r>
          </w:p>
        </w:tc>
      </w:tr>
      <w:tr>
        <w:tc>
          <w:tcPr>
            <w:tcW w:type="dxa" w:w="2268"/>
          </w:tcPr>
          <w:p>
            <w:pPr>
              <w:jc w:val="center"/>
            </w:pPr>
            <w:r>
              <w:rPr>
                <w:rFonts w:ascii="Arial" w:hAnsi="Arial"/>
                <w:sz w:val="18"/>
              </w:rPr>
              <w:t>N pairs</w:t>
            </w:r>
          </w:p>
        </w:tc>
        <w:tc>
          <w:tcPr>
            <w:tcW w:type="dxa" w:w="2268"/>
          </w:tcPr>
          <w:p>
            <w:pPr>
              <w:jc w:val="center"/>
            </w:pPr>
            <w:r>
              <w:rPr>
                <w:rFonts w:ascii="Arial" w:hAnsi="Arial"/>
                <w:sz w:val="18"/>
              </w:rPr>
              <w:t>407</w:t>
            </w:r>
          </w:p>
        </w:tc>
        <w:tc>
          <w:tcPr>
            <w:tcW w:type="dxa" w:w="2268"/>
          </w:tcPr>
          <w:p>
            <w:pPr>
              <w:jc w:val="center"/>
            </w:pPr>
            <w:r>
              <w:rPr>
                <w:rFonts w:ascii="Arial" w:hAnsi="Arial"/>
                <w:sz w:val="18"/>
              </w:rPr>
              <w:t>407</w:t>
            </w:r>
          </w:p>
        </w:tc>
      </w:tr>
      <w:tr>
        <w:tc>
          <w:tcPr>
            <w:tcW w:type="dxa" w:w="2268"/>
            <w:shd w:fill="F0F4FF"/>
          </w:tcPr>
          <w:p>
            <w:pPr>
              <w:jc w:val="center"/>
            </w:pPr>
            <w:r>
              <w:rPr>
                <w:rFonts w:ascii="Arial" w:hAnsi="Arial"/>
                <w:sz w:val="18"/>
              </w:rPr>
              <w:t>Cohen's κ</w:t>
            </w:r>
          </w:p>
        </w:tc>
        <w:tc>
          <w:tcPr>
            <w:tcW w:type="dxa" w:w="2268"/>
            <w:shd w:fill="F0F4FF"/>
          </w:tcPr>
          <w:p>
            <w:pPr>
              <w:jc w:val="center"/>
            </w:pPr>
            <w:r>
              <w:rPr>
                <w:rFonts w:ascii="Arial" w:hAnsi="Arial"/>
                <w:sz w:val="18"/>
              </w:rPr>
              <w:t>0.629</w:t>
            </w:r>
          </w:p>
        </w:tc>
        <w:tc>
          <w:tcPr>
            <w:tcW w:type="dxa" w:w="2268"/>
            <w:shd w:fill="F0F4FF"/>
          </w:tcPr>
          <w:p>
            <w:pPr>
              <w:jc w:val="center"/>
            </w:pPr>
            <w:r>
              <w:rPr>
                <w:rFonts w:ascii="Arial" w:hAnsi="Arial"/>
                <w:sz w:val="18"/>
              </w:rPr>
              <w:t>0.675</w:t>
            </w:r>
          </w:p>
        </w:tc>
      </w:tr>
      <w:tr>
        <w:tc>
          <w:tcPr>
            <w:tcW w:type="dxa" w:w="2268"/>
          </w:tcPr>
          <w:p>
            <w:pPr>
              <w:jc w:val="center"/>
            </w:pPr>
            <w:r>
              <w:rPr>
                <w:rFonts w:ascii="Arial" w:hAnsi="Arial"/>
                <w:sz w:val="18"/>
              </w:rPr>
              <w:t>Agreement Rate</w:t>
            </w:r>
          </w:p>
        </w:tc>
        <w:tc>
          <w:tcPr>
            <w:tcW w:type="dxa" w:w="2268"/>
          </w:tcPr>
          <w:p>
            <w:pPr>
              <w:jc w:val="center"/>
            </w:pPr>
            <w:r>
              <w:rPr>
                <w:rFonts w:ascii="Arial" w:hAnsi="Arial"/>
                <w:sz w:val="18"/>
              </w:rPr>
              <w:t>81.8%</w:t>
            </w:r>
          </w:p>
        </w:tc>
        <w:tc>
          <w:tcPr>
            <w:tcW w:type="dxa" w:w="2268"/>
          </w:tcPr>
          <w:p>
            <w:pPr>
              <w:jc w:val="center"/>
            </w:pPr>
            <w:r>
              <w:rPr>
                <w:rFonts w:ascii="Arial" w:hAnsi="Arial"/>
                <w:sz w:val="18"/>
              </w:rPr>
              <w:t>84.5%</w:t>
            </w:r>
          </w:p>
        </w:tc>
      </w:tr>
      <w:tr>
        <w:tc>
          <w:tcPr>
            <w:tcW w:type="dxa" w:w="2268"/>
            <w:shd w:fill="F0F4FF"/>
          </w:tcPr>
          <w:p>
            <w:pPr>
              <w:jc w:val="center"/>
            </w:pPr>
            <w:r>
              <w:rPr>
                <w:rFonts w:ascii="Arial" w:hAnsi="Arial"/>
                <w:sz w:val="18"/>
              </w:rPr>
              <w:t>Sensitivity</w:t>
            </w:r>
          </w:p>
        </w:tc>
        <w:tc>
          <w:tcPr>
            <w:tcW w:type="dxa" w:w="2268"/>
            <w:shd w:fill="F0F4FF"/>
          </w:tcPr>
          <w:p>
            <w:pPr>
              <w:jc w:val="center"/>
            </w:pPr>
            <w:r>
              <w:rPr>
                <w:rFonts w:ascii="Arial" w:hAnsi="Arial"/>
                <w:sz w:val="18"/>
              </w:rPr>
              <w:t>0.782</w:t>
            </w:r>
          </w:p>
        </w:tc>
        <w:tc>
          <w:tcPr>
            <w:tcW w:type="dxa" w:w="2268"/>
            <w:shd w:fill="F0F4FF"/>
          </w:tcPr>
          <w:p>
            <w:pPr>
              <w:jc w:val="center"/>
            </w:pPr>
            <w:r>
              <w:rPr>
                <w:rFonts w:ascii="Arial" w:hAnsi="Arial"/>
                <w:sz w:val="18"/>
              </w:rPr>
              <w:t>0.844</w:t>
            </w:r>
          </w:p>
        </w:tc>
      </w:tr>
      <w:tr>
        <w:tc>
          <w:tcPr>
            <w:tcW w:type="dxa" w:w="2268"/>
          </w:tcPr>
          <w:p>
            <w:pPr>
              <w:jc w:val="center"/>
            </w:pPr>
            <w:r>
              <w:rPr>
                <w:rFonts w:ascii="Arial" w:hAnsi="Arial"/>
                <w:sz w:val="18"/>
              </w:rPr>
              <w:t>Specificity</w:t>
            </w:r>
          </w:p>
        </w:tc>
        <w:tc>
          <w:tcPr>
            <w:tcW w:type="dxa" w:w="2268"/>
          </w:tcPr>
          <w:p>
            <w:pPr>
              <w:jc w:val="center"/>
            </w:pPr>
            <w:r>
              <w:rPr>
                <w:rFonts w:ascii="Arial" w:hAnsi="Arial"/>
                <w:sz w:val="18"/>
              </w:rPr>
              <w:t>0.880</w:t>
            </w:r>
          </w:p>
        </w:tc>
        <w:tc>
          <w:tcPr>
            <w:tcW w:type="dxa" w:w="2268"/>
          </w:tcPr>
          <w:p>
            <w:pPr>
              <w:jc w:val="center"/>
            </w:pPr>
            <w:r>
              <w:rPr>
                <w:rFonts w:ascii="Arial" w:hAnsi="Arial"/>
                <w:sz w:val="18"/>
              </w:rPr>
              <w:t>0.847</w:t>
            </w:r>
          </w:p>
        </w:tc>
      </w:tr>
      <w:tr>
        <w:tc>
          <w:tcPr>
            <w:tcW w:type="dxa" w:w="2268"/>
            <w:shd w:fill="F0F4FF"/>
          </w:tcPr>
          <w:p>
            <w:pPr>
              <w:jc w:val="center"/>
            </w:pPr>
            <w:r>
              <w:rPr>
                <w:rFonts w:ascii="Arial" w:hAnsi="Arial"/>
                <w:sz w:val="18"/>
              </w:rPr>
              <w:t>Precision</w:t>
            </w:r>
          </w:p>
        </w:tc>
        <w:tc>
          <w:tcPr>
            <w:tcW w:type="dxa" w:w="2268"/>
            <w:shd w:fill="F0F4FF"/>
          </w:tcPr>
          <w:p>
            <w:pPr>
              <w:jc w:val="center"/>
            </w:pPr>
            <w:r>
              <w:rPr>
                <w:rFonts w:ascii="Arial" w:hAnsi="Arial"/>
                <w:sz w:val="18"/>
              </w:rPr>
              <w:t>0.918</w:t>
            </w:r>
          </w:p>
        </w:tc>
        <w:tc>
          <w:tcPr>
            <w:tcW w:type="dxa" w:w="2268"/>
            <w:shd w:fill="F0F4FF"/>
          </w:tcPr>
          <w:p>
            <w:pPr>
              <w:jc w:val="center"/>
            </w:pPr>
            <w:r>
              <w:rPr>
                <w:rFonts w:ascii="Arial" w:hAnsi="Arial"/>
                <w:sz w:val="18"/>
              </w:rPr>
              <w:t>0.904</w:t>
            </w:r>
          </w:p>
        </w:tc>
      </w:tr>
      <w:tr>
        <w:tc>
          <w:tcPr>
            <w:tcW w:type="dxa" w:w="2268"/>
          </w:tcPr>
          <w:p>
            <w:pPr>
              <w:jc w:val="center"/>
            </w:pPr>
            <w:r>
              <w:rPr>
                <w:rFonts w:ascii="Arial" w:hAnsi="Arial"/>
                <w:sz w:val="18"/>
              </w:rPr>
              <w:t>F1 Score</w:t>
            </w:r>
          </w:p>
        </w:tc>
        <w:tc>
          <w:tcPr>
            <w:tcW w:type="dxa" w:w="2268"/>
          </w:tcPr>
          <w:p>
            <w:pPr>
              <w:jc w:val="center"/>
            </w:pPr>
            <w:r>
              <w:rPr>
                <w:rFonts w:ascii="Arial" w:hAnsi="Arial"/>
                <w:sz w:val="18"/>
              </w:rPr>
              <w:t>0.845</w:t>
            </w:r>
          </w:p>
        </w:tc>
        <w:tc>
          <w:tcPr>
            <w:tcW w:type="dxa" w:w="2268"/>
          </w:tcPr>
          <w:p>
            <w:pPr>
              <w:jc w:val="center"/>
            </w:pPr>
            <w:r>
              <w:rPr>
                <w:rFonts w:ascii="Arial" w:hAnsi="Arial"/>
                <w:sz w:val="18"/>
              </w:rPr>
              <w:t>0.873</w:t>
            </w:r>
          </w:p>
        </w:tc>
      </w:tr>
    </w:tbl>
    <w:p/>
    <w:p>
      <w:r>
        <w:t>GPT-5.2: κ = 0.629 indicates substantial agreement. Sensitivity = 78.2%, Specificity = 88.0%.</w:t>
      </w:r>
    </w:p>
    <w:p>
      <w:r>
        <w:t>MedGemma 27B: κ = 0.675 indicates substantial agreement. Sensitivity = 84.4%, Specificity = 84.7%.</w:t>
      </w:r>
    </w:p>
    <w:p>
      <w:r>
        <w:br w:type="page"/>
      </w:r>
    </w:p>
    <w:p>
      <w:pPr>
        <w:pStyle w:val="Heading1"/>
      </w:pPr>
      <w:r>
        <w:t>13. Uro-Oncologist's Direct Rating of AI Judges</w:t>
      </w:r>
    </w:p>
    <w:p>
      <w:r>
        <w:t>Dr. Alexa directly reviewed 828 judge evaluations across 69 cases, rating whether the judge's assessment was correct (agree/partial/disagree) and the quality of the judge's reasoning.</w:t>
      </w:r>
    </w:p>
    <w:p>
      <w:pPr>
        <w:jc w:val="center"/>
      </w:pPr>
      <w:r>
        <w:drawing>
          <wp:inline xmlns:a="http://schemas.openxmlformats.org/drawingml/2006/main" xmlns:pic="http://schemas.openxmlformats.org/drawingml/2006/picture">
            <wp:extent cx="5486400" cy="2407487"/>
            <wp:docPr id="9" name="Picture 9"/>
            <wp:cNvGraphicFramePr>
              <a:graphicFrameLocks noChangeAspect="1"/>
            </wp:cNvGraphicFramePr>
            <a:graphic>
              <a:graphicData uri="http://schemas.openxmlformats.org/drawingml/2006/picture">
                <pic:pic>
                  <pic:nvPicPr>
                    <pic:cNvPr id="0" name="judge_ratings.png"/>
                    <pic:cNvPicPr/>
                  </pic:nvPicPr>
                  <pic:blipFill>
                    <a:blip r:embed="rId17"/>
                    <a:stretch>
                      <a:fillRect/>
                    </a:stretch>
                  </pic:blipFill>
                  <pic:spPr>
                    <a:xfrm>
                      <a:off x="0" y="0"/>
                      <a:ext cx="5486400" cy="2407487"/>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Metric</w:t>
            </w:r>
          </w:p>
        </w:tc>
        <w:tc>
          <w:tcPr>
            <w:tcW w:type="dxa" w:w="2551"/>
            <w:shd w:fill="1E40AF"/>
          </w:tcPr>
          <w:p>
            <w:pPr>
              <w:jc w:val="center"/>
            </w:pPr>
            <w:r>
              <w:rPr>
                <w:rFonts w:ascii="Arial" w:hAnsi="Arial"/>
                <w:b/>
                <w:color w:val="FFFFFF"/>
                <w:sz w:val="18"/>
              </w:rPr>
              <w:t>GPT-5.2</w:t>
            </w:r>
          </w:p>
        </w:tc>
        <w:tc>
          <w:tcPr>
            <w:tcW w:type="dxa" w:w="2551"/>
            <w:shd w:fill="1E40AF"/>
          </w:tcPr>
          <w:p>
            <w:pPr>
              <w:jc w:val="center"/>
            </w:pPr>
            <w:r>
              <w:rPr>
                <w:rFonts w:ascii="Arial" w:hAnsi="Arial"/>
                <w:b/>
                <w:color w:val="FFFFFF"/>
                <w:sz w:val="18"/>
              </w:rPr>
              <w:t>MedGemma 27B</w:t>
            </w:r>
          </w:p>
        </w:tc>
      </w:tr>
      <w:tr>
        <w:tc>
          <w:tcPr>
            <w:tcW w:type="dxa" w:w="2835"/>
          </w:tcPr>
          <w:p>
            <w:pPr>
              <w:jc w:val="center"/>
            </w:pPr>
            <w:r>
              <w:rPr>
                <w:rFonts w:ascii="Arial" w:hAnsi="Arial"/>
                <w:sz w:val="18"/>
              </w:rPr>
              <w:t>Total Reviews</w:t>
            </w:r>
          </w:p>
        </w:tc>
        <w:tc>
          <w:tcPr>
            <w:tcW w:type="dxa" w:w="2551"/>
          </w:tcPr>
          <w:p>
            <w:pPr>
              <w:jc w:val="center"/>
            </w:pPr>
            <w:r>
              <w:rPr>
                <w:rFonts w:ascii="Arial" w:hAnsi="Arial"/>
                <w:sz w:val="18"/>
              </w:rPr>
              <w:t>414</w:t>
            </w:r>
          </w:p>
        </w:tc>
        <w:tc>
          <w:tcPr>
            <w:tcW w:type="dxa" w:w="2551"/>
          </w:tcPr>
          <w:p>
            <w:pPr>
              <w:jc w:val="center"/>
            </w:pPr>
            <w:r>
              <w:rPr>
                <w:rFonts w:ascii="Arial" w:hAnsi="Arial"/>
                <w:sz w:val="18"/>
              </w:rPr>
              <w:t>414</w:t>
            </w:r>
          </w:p>
        </w:tc>
      </w:tr>
      <w:tr>
        <w:tc>
          <w:tcPr>
            <w:tcW w:type="dxa" w:w="2835"/>
            <w:shd w:fill="F0F4FF"/>
          </w:tcPr>
          <w:p>
            <w:pPr>
              <w:jc w:val="center"/>
            </w:pPr>
            <w:r>
              <w:rPr>
                <w:rFonts w:ascii="Arial" w:hAnsi="Arial"/>
                <w:sz w:val="18"/>
              </w:rPr>
              <w:t>Agree</w:t>
            </w:r>
          </w:p>
        </w:tc>
        <w:tc>
          <w:tcPr>
            <w:tcW w:type="dxa" w:w="2551"/>
            <w:shd w:fill="F0F4FF"/>
          </w:tcPr>
          <w:p>
            <w:pPr>
              <w:jc w:val="center"/>
            </w:pPr>
            <w:r>
              <w:rPr>
                <w:rFonts w:ascii="Arial" w:hAnsi="Arial"/>
                <w:sz w:val="18"/>
              </w:rPr>
              <w:t>352 (85.0%)</w:t>
            </w:r>
          </w:p>
        </w:tc>
        <w:tc>
          <w:tcPr>
            <w:tcW w:type="dxa" w:w="2551"/>
            <w:shd w:fill="F0F4FF"/>
          </w:tcPr>
          <w:p>
            <w:pPr>
              <w:jc w:val="center"/>
            </w:pPr>
            <w:r>
              <w:rPr>
                <w:rFonts w:ascii="Arial" w:hAnsi="Arial"/>
                <w:sz w:val="18"/>
              </w:rPr>
              <w:t>353 (85.3%)</w:t>
            </w:r>
          </w:p>
        </w:tc>
      </w:tr>
      <w:tr>
        <w:tc>
          <w:tcPr>
            <w:tcW w:type="dxa" w:w="2835"/>
          </w:tcPr>
          <w:p>
            <w:pPr>
              <w:jc w:val="center"/>
            </w:pPr>
            <w:r>
              <w:rPr>
                <w:rFonts w:ascii="Arial" w:hAnsi="Arial"/>
                <w:sz w:val="18"/>
              </w:rPr>
              <w:t>Partial</w:t>
            </w:r>
          </w:p>
        </w:tc>
        <w:tc>
          <w:tcPr>
            <w:tcW w:type="dxa" w:w="2551"/>
          </w:tcPr>
          <w:p>
            <w:pPr>
              <w:jc w:val="center"/>
            </w:pPr>
            <w:r>
              <w:rPr>
                <w:rFonts w:ascii="Arial" w:hAnsi="Arial"/>
                <w:sz w:val="18"/>
              </w:rPr>
              <w:t>4 (1.0%)</w:t>
            </w:r>
          </w:p>
        </w:tc>
        <w:tc>
          <w:tcPr>
            <w:tcW w:type="dxa" w:w="2551"/>
          </w:tcPr>
          <w:p>
            <w:pPr>
              <w:jc w:val="center"/>
            </w:pPr>
            <w:r>
              <w:rPr>
                <w:rFonts w:ascii="Arial" w:hAnsi="Arial"/>
                <w:sz w:val="18"/>
              </w:rPr>
              <w:t>24 (5.8%)</w:t>
            </w:r>
          </w:p>
        </w:tc>
      </w:tr>
      <w:tr>
        <w:tc>
          <w:tcPr>
            <w:tcW w:type="dxa" w:w="2835"/>
            <w:shd w:fill="F0F4FF"/>
          </w:tcPr>
          <w:p>
            <w:pPr>
              <w:jc w:val="center"/>
            </w:pPr>
            <w:r>
              <w:rPr>
                <w:rFonts w:ascii="Arial" w:hAnsi="Arial"/>
                <w:sz w:val="18"/>
              </w:rPr>
              <w:t>Disagree</w:t>
            </w:r>
          </w:p>
        </w:tc>
        <w:tc>
          <w:tcPr>
            <w:tcW w:type="dxa" w:w="2551"/>
            <w:shd w:fill="F0F4FF"/>
          </w:tcPr>
          <w:p>
            <w:pPr>
              <w:jc w:val="center"/>
            </w:pPr>
            <w:r>
              <w:rPr>
                <w:rFonts w:ascii="Arial" w:hAnsi="Arial"/>
                <w:sz w:val="18"/>
              </w:rPr>
              <w:t>58 (14.0%)</w:t>
            </w:r>
          </w:p>
        </w:tc>
        <w:tc>
          <w:tcPr>
            <w:tcW w:type="dxa" w:w="2551"/>
            <w:shd w:fill="F0F4FF"/>
          </w:tcPr>
          <w:p>
            <w:pPr>
              <w:jc w:val="center"/>
            </w:pPr>
            <w:r>
              <w:rPr>
                <w:rFonts w:ascii="Arial" w:hAnsi="Arial"/>
                <w:sz w:val="18"/>
              </w:rPr>
              <w:t>37 (8.9%)</w:t>
            </w:r>
          </w:p>
        </w:tc>
      </w:tr>
      <w:tr>
        <w:tc>
          <w:tcPr>
            <w:tcW w:type="dxa" w:w="2835"/>
          </w:tcPr>
          <w:p>
            <w:pPr>
              <w:jc w:val="center"/>
            </w:pPr>
            <w:r>
              <w:rPr>
                <w:rFonts w:ascii="Arial" w:hAnsi="Arial"/>
                <w:sz w:val="18"/>
              </w:rPr>
              <w:t>Avg Reasoning Quality</w:t>
            </w:r>
          </w:p>
        </w:tc>
        <w:tc>
          <w:tcPr>
            <w:tcW w:type="dxa" w:w="2551"/>
          </w:tcPr>
          <w:p>
            <w:pPr>
              <w:jc w:val="center"/>
            </w:pPr>
            <w:r>
              <w:rPr>
                <w:rFonts w:ascii="Arial" w:hAnsi="Arial"/>
                <w:sz w:val="18"/>
              </w:rPr>
              <w:t>7.1/10</w:t>
            </w:r>
          </w:p>
        </w:tc>
        <w:tc>
          <w:tcPr>
            <w:tcW w:type="dxa" w:w="2551"/>
          </w:tcPr>
          <w:p>
            <w:pPr>
              <w:jc w:val="center"/>
            </w:pPr>
            <w:r>
              <w:rPr>
                <w:rFonts w:ascii="Arial" w:hAnsi="Arial"/>
                <w:sz w:val="18"/>
              </w:rPr>
              <w:t>7.2/10</w:t>
            </w:r>
          </w:p>
        </w:tc>
      </w:tr>
    </w:tbl>
    <w:p>
      <w:r>
        <w:br w:type="page"/>
      </w:r>
    </w:p>
    <w:p>
      <w:pPr>
        <w:pStyle w:val="Heading1"/>
      </w:pPr>
      <w:r>
        <w:t>14. Per-Model Judge Accuracy</w:t>
      </w:r>
    </w:p>
    <w:p>
      <w:r>
        <w:t>This heatmap shows the agreement rate (%) between each judge and the uro-oncologist, broken down by model.</w:t>
      </w:r>
    </w:p>
    <w:p>
      <w:pPr>
        <w:jc w:val="center"/>
      </w:pPr>
      <w:r>
        <w:drawing>
          <wp:inline xmlns:a="http://schemas.openxmlformats.org/drawingml/2006/main" xmlns:pic="http://schemas.openxmlformats.org/drawingml/2006/picture">
            <wp:extent cx="5486400" cy="4476558"/>
            <wp:docPr id="10" name="Picture 10"/>
            <wp:cNvGraphicFramePr>
              <a:graphicFrameLocks noChangeAspect="1"/>
            </wp:cNvGraphicFramePr>
            <a:graphic>
              <a:graphicData uri="http://schemas.openxmlformats.org/drawingml/2006/picture">
                <pic:pic>
                  <pic:nvPicPr>
                    <pic:cNvPr id="0" name="per_model_accuracy.png"/>
                    <pic:cNvPicPr/>
                  </pic:nvPicPr>
                  <pic:blipFill>
                    <a:blip r:embed="rId18"/>
                    <a:stretch>
                      <a:fillRect/>
                    </a:stretch>
                  </pic:blipFill>
                  <pic:spPr>
                    <a:xfrm>
                      <a:off x="0" y="0"/>
                      <a:ext cx="5486400" cy="4476558"/>
                    </a:xfrm>
                    <a:prstGeom prst="rect"/>
                  </pic:spPr>
                </pic:pic>
              </a:graphicData>
            </a:graphic>
          </wp:inline>
        </w:drawing>
      </w:r>
    </w:p>
    <w:tbl>
      <w:tblPr>
        <w:tblW w:type="auto" w:w="0"/>
        <w:jc w:val="center"/>
        <w:tblLook w:firstColumn="1" w:firstRow="1" w:lastColumn="0" w:lastRow="0" w:noHBand="0" w:noVBand="1" w:val="04A0"/>
      </w:tblPr>
      <w:tblGrid>
        <w:gridCol w:w="2160"/>
        <w:gridCol w:w="2160"/>
        <w:gridCol w:w="2160"/>
        <w:gridCol w:w="2160"/>
      </w:tblGrid>
      <w:tr>
        <w:tc>
          <w:tcPr>
            <w:tcW w:type="dxa" w:w="2268"/>
            <w:shd w:fill="1E40AF"/>
          </w:tcPr>
          <w:p>
            <w:pPr>
              <w:jc w:val="center"/>
            </w:pPr>
            <w:r>
              <w:rPr>
                <w:rFonts w:ascii="Arial" w:hAnsi="Arial"/>
                <w:b/>
                <w:color w:val="FFFFFF"/>
                <w:sz w:val="18"/>
              </w:rPr>
              <w:t>Model</w:t>
            </w:r>
          </w:p>
        </w:tc>
        <w:tc>
          <w:tcPr>
            <w:tcW w:type="dxa" w:w="1984"/>
            <w:shd w:fill="1E40AF"/>
          </w:tcPr>
          <w:p>
            <w:pPr>
              <w:jc w:val="center"/>
            </w:pPr>
            <w:r>
              <w:rPr>
                <w:rFonts w:ascii="Arial" w:hAnsi="Arial"/>
                <w:b/>
                <w:color w:val="FFFFFF"/>
                <w:sz w:val="18"/>
              </w:rPr>
              <w:t>Uro-Oncologist Acceptable %</w:t>
            </w:r>
          </w:p>
        </w:tc>
        <w:tc>
          <w:tcPr>
            <w:tcW w:type="dxa" w:w="1984"/>
            <w:shd w:fill="1E40AF"/>
          </w:tcPr>
          <w:p>
            <w:pPr>
              <w:jc w:val="center"/>
            </w:pPr>
            <w:r>
              <w:rPr>
                <w:rFonts w:ascii="Arial" w:hAnsi="Arial"/>
                <w:b/>
                <w:color w:val="FFFFFF"/>
                <w:sz w:val="18"/>
              </w:rPr>
              <w:t>GPT-5.2 Agr.</w:t>
            </w:r>
          </w:p>
        </w:tc>
        <w:tc>
          <w:tcPr>
            <w:tcW w:type="dxa" w:w="1984"/>
            <w:shd w:fill="1E40AF"/>
          </w:tcPr>
          <w:p>
            <w:pPr>
              <w:jc w:val="center"/>
            </w:pPr>
            <w:r>
              <w:rPr>
                <w:rFonts w:ascii="Arial" w:hAnsi="Arial"/>
                <w:b/>
                <w:color w:val="FFFFFF"/>
                <w:sz w:val="18"/>
              </w:rPr>
              <w:t>MedGemma 27B Agr.</w:t>
            </w:r>
          </w:p>
        </w:tc>
      </w:tr>
      <w:tr>
        <w:tc>
          <w:tcPr>
            <w:tcW w:type="dxa" w:w="2268"/>
          </w:tcPr>
          <w:p>
            <w:pPr>
              <w:jc w:val="center"/>
            </w:pPr>
            <w:r>
              <w:rPr>
                <w:rFonts w:ascii="Arial" w:hAnsi="Arial"/>
                <w:sz w:val="18"/>
              </w:rPr>
              <w:t>Meditron3 7B</w:t>
            </w:r>
          </w:p>
        </w:tc>
        <w:tc>
          <w:tcPr>
            <w:tcW w:type="dxa" w:w="1984"/>
          </w:tcPr>
          <w:p>
            <w:pPr>
              <w:jc w:val="center"/>
            </w:pPr>
            <w:r>
              <w:rPr>
                <w:rFonts w:ascii="Arial" w:hAnsi="Arial"/>
                <w:sz w:val="18"/>
              </w:rPr>
              <w:t>49.3%</w:t>
            </w:r>
          </w:p>
        </w:tc>
        <w:tc>
          <w:tcPr>
            <w:tcW w:type="dxa" w:w="1984"/>
          </w:tcPr>
          <w:p>
            <w:pPr>
              <w:jc w:val="center"/>
            </w:pPr>
            <w:r>
              <w:rPr>
                <w:rFonts w:ascii="Arial" w:hAnsi="Arial"/>
                <w:sz w:val="18"/>
              </w:rPr>
              <w:t>89.9%</w:t>
            </w:r>
          </w:p>
        </w:tc>
        <w:tc>
          <w:tcPr>
            <w:tcW w:type="dxa" w:w="1984"/>
          </w:tcPr>
          <w:p>
            <w:pPr>
              <w:jc w:val="center"/>
            </w:pPr>
            <w:r>
              <w:rPr>
                <w:rFonts w:ascii="Arial" w:hAnsi="Arial"/>
                <w:sz w:val="18"/>
              </w:rPr>
              <w:t>92.8%</w:t>
            </w:r>
          </w:p>
        </w:tc>
      </w:tr>
      <w:tr>
        <w:tc>
          <w:tcPr>
            <w:tcW w:type="dxa" w:w="2268"/>
            <w:shd w:fill="F0F4FF"/>
          </w:tcPr>
          <w:p>
            <w:pPr>
              <w:jc w:val="center"/>
            </w:pPr>
            <w:r>
              <w:rPr>
                <w:rFonts w:ascii="Arial" w:hAnsi="Arial"/>
                <w:sz w:val="18"/>
              </w:rPr>
              <w:t>OLMo 32B Instruct</w:t>
            </w:r>
          </w:p>
        </w:tc>
        <w:tc>
          <w:tcPr>
            <w:tcW w:type="dxa" w:w="1984"/>
            <w:shd w:fill="F0F4FF"/>
          </w:tcPr>
          <w:p>
            <w:pPr>
              <w:jc w:val="center"/>
            </w:pPr>
            <w:r>
              <w:rPr>
                <w:rFonts w:ascii="Arial" w:hAnsi="Arial"/>
                <w:sz w:val="18"/>
              </w:rPr>
              <w:t>63.8%</w:t>
            </w:r>
          </w:p>
        </w:tc>
        <w:tc>
          <w:tcPr>
            <w:tcW w:type="dxa" w:w="1984"/>
            <w:shd w:fill="F0F4FF"/>
          </w:tcPr>
          <w:p>
            <w:pPr>
              <w:jc w:val="center"/>
            </w:pPr>
            <w:r>
              <w:rPr>
                <w:rFonts w:ascii="Arial" w:hAnsi="Arial"/>
                <w:sz w:val="18"/>
              </w:rPr>
              <w:t>78.3%</w:t>
            </w:r>
          </w:p>
        </w:tc>
        <w:tc>
          <w:tcPr>
            <w:tcW w:type="dxa" w:w="1984"/>
            <w:shd w:fill="F0F4FF"/>
          </w:tcPr>
          <w:p>
            <w:pPr>
              <w:jc w:val="center"/>
            </w:pPr>
            <w:r>
              <w:rPr>
                <w:rFonts w:ascii="Arial" w:hAnsi="Arial"/>
                <w:sz w:val="18"/>
              </w:rPr>
              <w:t>78.3%</w:t>
            </w:r>
          </w:p>
        </w:tc>
      </w:tr>
      <w:tr>
        <w:tc>
          <w:tcPr>
            <w:tcW w:type="dxa" w:w="2268"/>
          </w:tcPr>
          <w:p>
            <w:pPr>
              <w:jc w:val="center"/>
            </w:pPr>
            <w:r>
              <w:rPr>
                <w:rFonts w:ascii="Arial" w:hAnsi="Arial"/>
                <w:sz w:val="18"/>
              </w:rPr>
              <w:t>OLMo 32B Think</w:t>
            </w:r>
          </w:p>
        </w:tc>
        <w:tc>
          <w:tcPr>
            <w:tcW w:type="dxa" w:w="1984"/>
          </w:tcPr>
          <w:p>
            <w:pPr>
              <w:jc w:val="center"/>
            </w:pPr>
            <w:r>
              <w:rPr>
                <w:rFonts w:ascii="Arial" w:hAnsi="Arial"/>
                <w:sz w:val="18"/>
              </w:rPr>
              <w:t>69.1%</w:t>
            </w:r>
          </w:p>
        </w:tc>
        <w:tc>
          <w:tcPr>
            <w:tcW w:type="dxa" w:w="1984"/>
          </w:tcPr>
          <w:p>
            <w:pPr>
              <w:jc w:val="center"/>
            </w:pPr>
            <w:r>
              <w:rPr>
                <w:rFonts w:ascii="Arial" w:hAnsi="Arial"/>
                <w:sz w:val="18"/>
              </w:rPr>
              <w:t>83.8%</w:t>
            </w:r>
          </w:p>
        </w:tc>
        <w:tc>
          <w:tcPr>
            <w:tcW w:type="dxa" w:w="1984"/>
          </w:tcPr>
          <w:p>
            <w:pPr>
              <w:jc w:val="center"/>
            </w:pPr>
            <w:r>
              <w:rPr>
                <w:rFonts w:ascii="Arial" w:hAnsi="Arial"/>
                <w:sz w:val="18"/>
              </w:rPr>
              <w:t>86.8%</w:t>
            </w:r>
          </w:p>
        </w:tc>
      </w:tr>
      <w:tr>
        <w:tc>
          <w:tcPr>
            <w:tcW w:type="dxa" w:w="2268"/>
            <w:shd w:fill="F0F4FF"/>
          </w:tcPr>
          <w:p>
            <w:pPr>
              <w:jc w:val="center"/>
            </w:pPr>
            <w:r>
              <w:rPr>
                <w:rFonts w:ascii="Arial" w:hAnsi="Arial"/>
                <w:sz w:val="18"/>
              </w:rPr>
              <w:t>Gemma 3 27B</w:t>
            </w:r>
          </w:p>
        </w:tc>
        <w:tc>
          <w:tcPr>
            <w:tcW w:type="dxa" w:w="1984"/>
            <w:shd w:fill="F0F4FF"/>
          </w:tcPr>
          <w:p>
            <w:pPr>
              <w:jc w:val="center"/>
            </w:pPr>
            <w:r>
              <w:rPr>
                <w:rFonts w:ascii="Arial" w:hAnsi="Arial"/>
                <w:sz w:val="18"/>
              </w:rPr>
              <w:t>74.6%</w:t>
            </w:r>
          </w:p>
        </w:tc>
        <w:tc>
          <w:tcPr>
            <w:tcW w:type="dxa" w:w="1984"/>
            <w:shd w:fill="F0F4FF"/>
          </w:tcPr>
          <w:p>
            <w:pPr>
              <w:jc w:val="center"/>
            </w:pPr>
            <w:r>
              <w:rPr>
                <w:rFonts w:ascii="Arial" w:hAnsi="Arial"/>
                <w:sz w:val="18"/>
              </w:rPr>
              <w:t>71.6%</w:t>
            </w:r>
          </w:p>
        </w:tc>
        <w:tc>
          <w:tcPr>
            <w:tcW w:type="dxa" w:w="1984"/>
            <w:shd w:fill="F0F4FF"/>
          </w:tcPr>
          <w:p>
            <w:pPr>
              <w:jc w:val="center"/>
            </w:pPr>
            <w:r>
              <w:rPr>
                <w:rFonts w:ascii="Arial" w:hAnsi="Arial"/>
                <w:sz w:val="18"/>
              </w:rPr>
              <w:t>76.1%</w:t>
            </w:r>
          </w:p>
        </w:tc>
      </w:tr>
      <w:tr>
        <w:tc>
          <w:tcPr>
            <w:tcW w:type="dxa" w:w="2268"/>
          </w:tcPr>
          <w:p>
            <w:pPr>
              <w:jc w:val="center"/>
            </w:pPr>
            <w:r>
              <w:rPr>
                <w:rFonts w:ascii="Arial" w:hAnsi="Arial"/>
                <w:sz w:val="18"/>
              </w:rPr>
              <w:t>Gemma 3 4B</w:t>
            </w:r>
          </w:p>
        </w:tc>
        <w:tc>
          <w:tcPr>
            <w:tcW w:type="dxa" w:w="1984"/>
          </w:tcPr>
          <w:p>
            <w:pPr>
              <w:jc w:val="center"/>
            </w:pPr>
            <w:r>
              <w:rPr>
                <w:rFonts w:ascii="Arial" w:hAnsi="Arial"/>
                <w:sz w:val="18"/>
              </w:rPr>
              <w:t>47.8%</w:t>
            </w:r>
          </w:p>
        </w:tc>
        <w:tc>
          <w:tcPr>
            <w:tcW w:type="dxa" w:w="1984"/>
          </w:tcPr>
          <w:p>
            <w:pPr>
              <w:jc w:val="center"/>
            </w:pPr>
            <w:r>
              <w:rPr>
                <w:rFonts w:ascii="Arial" w:hAnsi="Arial"/>
                <w:sz w:val="18"/>
              </w:rPr>
              <w:t>87.0%</w:t>
            </w:r>
          </w:p>
        </w:tc>
        <w:tc>
          <w:tcPr>
            <w:tcW w:type="dxa" w:w="1984"/>
          </w:tcPr>
          <w:p>
            <w:pPr>
              <w:jc w:val="center"/>
            </w:pPr>
            <w:r>
              <w:rPr>
                <w:rFonts w:ascii="Arial" w:hAnsi="Arial"/>
                <w:sz w:val="18"/>
              </w:rPr>
              <w:t>87.0%</w:t>
            </w:r>
          </w:p>
        </w:tc>
      </w:tr>
      <w:tr>
        <w:tc>
          <w:tcPr>
            <w:tcW w:type="dxa" w:w="2268"/>
            <w:shd w:fill="F0F4FF"/>
          </w:tcPr>
          <w:p>
            <w:pPr>
              <w:jc w:val="center"/>
            </w:pPr>
            <w:r>
              <w:rPr>
                <w:rFonts w:ascii="Arial" w:hAnsi="Arial"/>
                <w:sz w:val="18"/>
              </w:rPr>
              <w:t>MedGemma 27B</w:t>
            </w:r>
          </w:p>
        </w:tc>
        <w:tc>
          <w:tcPr>
            <w:tcW w:type="dxa" w:w="1984"/>
            <w:shd w:fill="F0F4FF"/>
          </w:tcPr>
          <w:p>
            <w:pPr>
              <w:jc w:val="center"/>
            </w:pPr>
            <w:r>
              <w:rPr>
                <w:rFonts w:ascii="Arial" w:hAnsi="Arial"/>
                <w:sz w:val="18"/>
              </w:rPr>
              <w:t>75.4%</w:t>
            </w:r>
          </w:p>
        </w:tc>
        <w:tc>
          <w:tcPr>
            <w:tcW w:type="dxa" w:w="1984"/>
            <w:shd w:fill="F0F4FF"/>
          </w:tcPr>
          <w:p>
            <w:pPr>
              <w:jc w:val="center"/>
            </w:pPr>
            <w:r>
              <w:rPr>
                <w:rFonts w:ascii="Arial" w:hAnsi="Arial"/>
                <w:sz w:val="18"/>
              </w:rPr>
              <w:t>80.0%</w:t>
            </w:r>
          </w:p>
        </w:tc>
        <w:tc>
          <w:tcPr>
            <w:tcW w:type="dxa" w:w="1984"/>
            <w:shd w:fill="F0F4FF"/>
          </w:tcPr>
          <w:p>
            <w:pPr>
              <w:jc w:val="center"/>
            </w:pPr>
            <w:r>
              <w:rPr>
                <w:rFonts w:ascii="Arial" w:hAnsi="Arial"/>
                <w:sz w:val="18"/>
              </w:rPr>
              <w:t>86.2%</w:t>
            </w:r>
          </w:p>
        </w:tc>
      </w:tr>
    </w:tbl>
    <w:p>
      <w:r>
        <w:br w:type="page"/>
      </w:r>
    </w:p>
    <w:p>
      <w:pPr>
        <w:pStyle w:val="Heading1"/>
      </w:pPr>
      <w:r>
        <w:t>15. Inter-Judge Agreement</w:t>
      </w:r>
    </w:p>
    <w:p>
      <w:r>
        <w:t>Agreement between GPT-5.2 and MedGemma 27B across 414 evaluation pairs (69 cases × 6 models).</w:t>
      </w:r>
    </w:p>
    <w:p>
      <w:pPr>
        <w:jc w:val="center"/>
      </w:pPr>
      <w:r>
        <w:drawing>
          <wp:inline xmlns:a="http://schemas.openxmlformats.org/drawingml/2006/main" xmlns:pic="http://schemas.openxmlformats.org/drawingml/2006/picture">
            <wp:extent cx="5486400" cy="4814253"/>
            <wp:docPr id="11" name="Picture 11"/>
            <wp:cNvGraphicFramePr>
              <a:graphicFrameLocks noChangeAspect="1"/>
            </wp:cNvGraphicFramePr>
            <a:graphic>
              <a:graphicData uri="http://schemas.openxmlformats.org/drawingml/2006/picture">
                <pic:pic>
                  <pic:nvPicPr>
                    <pic:cNvPr id="0" name="inter_judge.png"/>
                    <pic:cNvPicPr/>
                  </pic:nvPicPr>
                  <pic:blipFill>
                    <a:blip r:embed="rId19"/>
                    <a:stretch>
                      <a:fillRect/>
                    </a:stretch>
                  </pic:blipFill>
                  <pic:spPr>
                    <a:xfrm>
                      <a:off x="0" y="0"/>
                      <a:ext cx="5486400" cy="4814253"/>
                    </a:xfrm>
                    <a:prstGeom prst="rect"/>
                  </pic:spPr>
                </pic:pic>
              </a:graphicData>
            </a:graphic>
          </wp:inline>
        </w:drawing>
      </w:r>
    </w:p>
    <w:p>
      <w:r>
        <w:t>Cohen's κ = 0.725 (substantial agreement). Overall concordance: 86.5%.</w:t>
      </w:r>
    </w:p>
    <w:p>
      <w:r>
        <w:br w:type="page"/>
      </w:r>
    </w:p>
    <w:p>
      <w:pPr>
        <w:pStyle w:val="Heading1"/>
      </w:pPr>
      <w:r>
        <w:t>16. MedGemma Self-Judging Bias</w:t>
      </w:r>
    </w:p>
    <w:p>
      <w:r>
        <w:t>MedGemma serves dual roles: both as a predictive model and as a judge. This analysis tests whether MedGemma shows bias when evaluating its own predictions compared to other models' predictions.</w:t>
      </w:r>
    </w:p>
    <w:p>
      <w:pPr>
        <w:jc w:val="center"/>
      </w:pPr>
      <w:r>
        <w:drawing>
          <wp:inline xmlns:a="http://schemas.openxmlformats.org/drawingml/2006/main" xmlns:pic="http://schemas.openxmlformats.org/drawingml/2006/picture">
            <wp:extent cx="5486400" cy="3026819"/>
            <wp:docPr id="12" name="Picture 12"/>
            <wp:cNvGraphicFramePr>
              <a:graphicFrameLocks noChangeAspect="1"/>
            </wp:cNvGraphicFramePr>
            <a:graphic>
              <a:graphicData uri="http://schemas.openxmlformats.org/drawingml/2006/picture">
                <pic:pic>
                  <pic:nvPicPr>
                    <pic:cNvPr id="0" name="medgemma_bias.png"/>
                    <pic:cNvPicPr/>
                  </pic:nvPicPr>
                  <pic:blipFill>
                    <a:blip r:embed="rId20"/>
                    <a:stretch>
                      <a:fillRect/>
                    </a:stretch>
                  </pic:blipFill>
                  <pic:spPr>
                    <a:xfrm>
                      <a:off x="0" y="0"/>
                      <a:ext cx="5486400" cy="3026819"/>
                    </a:xfrm>
                    <a:prstGeom prst="rect"/>
                  </pic:spPr>
                </pic:pic>
              </a:graphicData>
            </a:graphic>
          </wp:inline>
        </w:drawing>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Self-Judging</w:t>
            </w:r>
          </w:p>
        </w:tc>
        <w:tc>
          <w:tcPr>
            <w:tcW w:type="dxa" w:w="2268"/>
            <w:shd w:fill="1E40AF"/>
          </w:tcPr>
          <w:p>
            <w:pPr>
              <w:jc w:val="center"/>
            </w:pPr>
            <w:r>
              <w:rPr>
                <w:rFonts w:ascii="Arial" w:hAnsi="Arial"/>
                <w:b/>
                <w:color w:val="FFFFFF"/>
                <w:sz w:val="18"/>
              </w:rPr>
              <w:t>Judging Others</w:t>
            </w:r>
          </w:p>
        </w:tc>
      </w:tr>
      <w:tr>
        <w:tc>
          <w:tcPr>
            <w:tcW w:type="dxa" w:w="2835"/>
          </w:tcPr>
          <w:p>
            <w:pPr>
              <w:jc w:val="center"/>
            </w:pPr>
            <w:r>
              <w:rPr>
                <w:rFonts w:ascii="Arial" w:hAnsi="Arial"/>
                <w:sz w:val="18"/>
              </w:rPr>
              <w:t>N evaluations</w:t>
            </w:r>
          </w:p>
        </w:tc>
        <w:tc>
          <w:tcPr>
            <w:tcW w:type="dxa" w:w="2268"/>
          </w:tcPr>
          <w:p>
            <w:pPr>
              <w:jc w:val="center"/>
            </w:pPr>
            <w:r>
              <w:rPr>
                <w:rFonts w:ascii="Arial" w:hAnsi="Arial"/>
                <w:sz w:val="18"/>
              </w:rPr>
              <w:t>69</w:t>
            </w:r>
          </w:p>
        </w:tc>
        <w:tc>
          <w:tcPr>
            <w:tcW w:type="dxa" w:w="2268"/>
          </w:tcPr>
          <w:p>
            <w:pPr>
              <w:jc w:val="center"/>
            </w:pPr>
            <w:r>
              <w:rPr>
                <w:rFonts w:ascii="Arial" w:hAnsi="Arial"/>
                <w:sz w:val="18"/>
              </w:rPr>
              <w:t>345</w:t>
            </w:r>
          </w:p>
        </w:tc>
      </w:tr>
      <w:tr>
        <w:tc>
          <w:tcPr>
            <w:tcW w:type="dxa" w:w="2835"/>
            <w:shd w:fill="F0F4FF"/>
          </w:tcPr>
          <w:p>
            <w:pPr>
              <w:jc w:val="center"/>
            </w:pPr>
            <w:r>
              <w:rPr>
                <w:rFonts w:ascii="Arial" w:hAnsi="Arial"/>
                <w:sz w:val="18"/>
              </w:rPr>
              <w:t>Mean Overall Score</w:t>
            </w:r>
          </w:p>
        </w:tc>
        <w:tc>
          <w:tcPr>
            <w:tcW w:type="dxa" w:w="2268"/>
            <w:shd w:fill="F0F4FF"/>
          </w:tcPr>
          <w:p>
            <w:pPr>
              <w:jc w:val="center"/>
            </w:pPr>
            <w:r>
              <w:rPr>
                <w:rFonts w:ascii="Arial" w:hAnsi="Arial"/>
                <w:sz w:val="18"/>
              </w:rPr>
              <w:t>0.777</w:t>
            </w:r>
          </w:p>
        </w:tc>
        <w:tc>
          <w:tcPr>
            <w:tcW w:type="dxa" w:w="2268"/>
            <w:shd w:fill="F0F4FF"/>
          </w:tcPr>
          <w:p>
            <w:pPr>
              <w:jc w:val="center"/>
            </w:pPr>
            <w:r>
              <w:rPr>
                <w:rFonts w:ascii="Arial" w:hAnsi="Arial"/>
                <w:sz w:val="18"/>
              </w:rPr>
              <w:t>0.695</w:t>
            </w:r>
          </w:p>
        </w:tc>
      </w:tr>
      <w:tr>
        <w:tc>
          <w:tcPr>
            <w:tcW w:type="dxa" w:w="2835"/>
          </w:tcPr>
          <w:p>
            <w:pPr>
              <w:jc w:val="center"/>
            </w:pPr>
            <w:r>
              <w:rPr>
                <w:rFonts w:ascii="Arial" w:hAnsi="Arial"/>
                <w:sz w:val="18"/>
              </w:rPr>
              <w:t>Median Overall Score</w:t>
            </w:r>
          </w:p>
        </w:tc>
        <w:tc>
          <w:tcPr>
            <w:tcW w:type="dxa" w:w="2268"/>
          </w:tcPr>
          <w:p>
            <w:pPr>
              <w:jc w:val="center"/>
            </w:pPr>
            <w:r>
              <w:rPr>
                <w:rFonts w:ascii="Arial" w:hAnsi="Arial"/>
                <w:sz w:val="18"/>
              </w:rPr>
              <w:t>0.850</w:t>
            </w:r>
          </w:p>
        </w:tc>
        <w:tc>
          <w:tcPr>
            <w:tcW w:type="dxa" w:w="2268"/>
          </w:tcPr>
          <w:p>
            <w:pPr>
              <w:jc w:val="center"/>
            </w:pPr>
            <w:r>
              <w:rPr>
                <w:rFonts w:ascii="Arial" w:hAnsi="Arial"/>
                <w:sz w:val="18"/>
              </w:rPr>
              <w:t>0.780</w:t>
            </w:r>
          </w:p>
        </w:tc>
      </w:tr>
    </w:tbl>
    <w:p>
      <w:r>
        <w:t>Mann-Whitney U test: U = 14062, p = 0.0170 (statistically significant). MedGemma gives higher scores to its own predictions by 0.082 points on average.</w:t>
      </w:r>
    </w:p>
    <w:p>
      <w:r>
        <w:br w:type="page"/>
      </w:r>
    </w:p>
    <w:p>
      <w:pPr>
        <w:pStyle w:val="Heading1"/>
      </w:pPr>
      <w:r>
        <w:t>17. Clinical Safety Analysis</w:t>
      </w:r>
    </w:p>
    <w:p>
      <w:r>
        <w:t>Clinical safety is assessed by examining two types of judge errors when compared to the uro-oncologist's assessment:</w:t>
      </w:r>
    </w:p>
    <w:p>
      <w:pPr>
        <w:pStyle w:val="ListBullet"/>
      </w:pPr>
      <w:r>
        <w:rPr>
          <w:rFonts w:ascii="Arial" w:hAnsi="Arial"/>
          <w:sz w:val="20"/>
        </w:rPr>
        <w:t>False Positive (dangerous): Judge approves a prediction the uro-oncologist rejects. Could lead to inappropriate treatment.</w:t>
      </w:r>
    </w:p>
    <w:p>
      <w:pPr>
        <w:pStyle w:val="ListBullet"/>
      </w:pPr>
      <w:r>
        <w:rPr>
          <w:rFonts w:ascii="Arial" w:hAnsi="Arial"/>
          <w:sz w:val="20"/>
        </w:rPr>
        <w:t>False Negative (overly strict): Judge rejects a prediction the uro-oncologist approves. Could prevent appropriate treatment.</w:t>
      </w:r>
    </w:p>
    <w:tbl>
      <w:tblPr>
        <w:tblW w:type="auto" w:w="0"/>
        <w:jc w:val="center"/>
        <w:tblLook w:firstColumn="1" w:firstRow="1" w:lastColumn="0" w:lastRow="0" w:noHBand="0" w:noVBand="1" w:val="04A0"/>
      </w:tblPr>
      <w:tblGrid>
        <w:gridCol w:w="2880"/>
        <w:gridCol w:w="2880"/>
        <w:gridCol w:w="2880"/>
      </w:tblGrid>
      <w:tr>
        <w:tc>
          <w:tcPr>
            <w:tcW w:type="dxa" w:w="2835"/>
            <w:shd w:fill="1E40AF"/>
          </w:tcPr>
          <w:p>
            <w:pPr>
              <w:jc w:val="center"/>
            </w:pPr>
            <w:r>
              <w:rPr>
                <w:rFonts w:ascii="Arial" w:hAnsi="Arial"/>
                <w:b/>
                <w:color w:val="FFFFFF"/>
                <w:sz w:val="18"/>
              </w:rPr>
              <w:t>Safety Metric</w:t>
            </w:r>
          </w:p>
        </w:tc>
        <w:tc>
          <w:tcPr>
            <w:tcW w:type="dxa" w:w="2551"/>
            <w:shd w:fill="1E40AF"/>
          </w:tcPr>
          <w:p>
            <w:pPr>
              <w:jc w:val="center"/>
            </w:pPr>
            <w:r>
              <w:rPr>
                <w:rFonts w:ascii="Arial" w:hAnsi="Arial"/>
                <w:b/>
                <w:color w:val="FFFFFF"/>
                <w:sz w:val="18"/>
              </w:rPr>
              <w:t>GPT-5.2</w:t>
            </w:r>
          </w:p>
        </w:tc>
        <w:tc>
          <w:tcPr>
            <w:tcW w:type="dxa" w:w="2551"/>
            <w:shd w:fill="1E40AF"/>
          </w:tcPr>
          <w:p>
            <w:pPr>
              <w:jc w:val="center"/>
            </w:pPr>
            <w:r>
              <w:rPr>
                <w:rFonts w:ascii="Arial" w:hAnsi="Arial"/>
                <w:b/>
                <w:color w:val="FFFFFF"/>
                <w:sz w:val="18"/>
              </w:rPr>
              <w:t>MedGemma 27B</w:t>
            </w:r>
          </w:p>
        </w:tc>
      </w:tr>
      <w:tr>
        <w:tc>
          <w:tcPr>
            <w:tcW w:type="dxa" w:w="2835"/>
          </w:tcPr>
          <w:p>
            <w:pPr>
              <w:jc w:val="center"/>
            </w:pPr>
            <w:r>
              <w:rPr>
                <w:rFonts w:ascii="Arial" w:hAnsi="Arial"/>
                <w:sz w:val="18"/>
              </w:rPr>
              <w:t>Total Pairs</w:t>
            </w:r>
          </w:p>
        </w:tc>
        <w:tc>
          <w:tcPr>
            <w:tcW w:type="dxa" w:w="2551"/>
          </w:tcPr>
          <w:p>
            <w:pPr>
              <w:jc w:val="center"/>
            </w:pPr>
            <w:r>
              <w:rPr>
                <w:rFonts w:ascii="Arial" w:hAnsi="Arial"/>
                <w:sz w:val="18"/>
              </w:rPr>
              <w:t>407</w:t>
            </w:r>
          </w:p>
        </w:tc>
        <w:tc>
          <w:tcPr>
            <w:tcW w:type="dxa" w:w="2551"/>
          </w:tcPr>
          <w:p>
            <w:pPr>
              <w:jc w:val="center"/>
            </w:pPr>
            <w:r>
              <w:rPr>
                <w:rFonts w:ascii="Arial" w:hAnsi="Arial"/>
                <w:sz w:val="18"/>
              </w:rPr>
              <w:t>407</w:t>
            </w:r>
          </w:p>
        </w:tc>
      </w:tr>
      <w:tr>
        <w:tc>
          <w:tcPr>
            <w:tcW w:type="dxa" w:w="2835"/>
            <w:shd w:fill="F0F4FF"/>
          </w:tcPr>
          <w:p>
            <w:pPr>
              <w:jc w:val="center"/>
            </w:pPr>
            <w:r>
              <w:rPr>
                <w:rFonts w:ascii="Arial" w:hAnsi="Arial"/>
                <w:sz w:val="18"/>
              </w:rPr>
              <w:t>Judge Approvals</w:t>
            </w:r>
          </w:p>
        </w:tc>
        <w:tc>
          <w:tcPr>
            <w:tcW w:type="dxa" w:w="2551"/>
            <w:shd w:fill="F0F4FF"/>
          </w:tcPr>
          <w:p>
            <w:pPr>
              <w:jc w:val="center"/>
            </w:pPr>
            <w:r>
              <w:rPr>
                <w:rFonts w:ascii="Arial" w:hAnsi="Arial"/>
                <w:sz w:val="18"/>
              </w:rPr>
              <w:t>219</w:t>
            </w:r>
          </w:p>
        </w:tc>
        <w:tc>
          <w:tcPr>
            <w:tcW w:type="dxa" w:w="2551"/>
            <w:shd w:fill="F0F4FF"/>
          </w:tcPr>
          <w:p>
            <w:pPr>
              <w:jc w:val="center"/>
            </w:pPr>
            <w:r>
              <w:rPr>
                <w:rFonts w:ascii="Arial" w:hAnsi="Arial"/>
                <w:sz w:val="18"/>
              </w:rPr>
              <w:t>240</w:t>
            </w:r>
          </w:p>
        </w:tc>
      </w:tr>
      <w:tr>
        <w:tc>
          <w:tcPr>
            <w:tcW w:type="dxa" w:w="2835"/>
          </w:tcPr>
          <w:p>
            <w:pPr>
              <w:jc w:val="center"/>
            </w:pPr>
            <w:r>
              <w:rPr>
                <w:rFonts w:ascii="Arial" w:hAnsi="Arial"/>
                <w:sz w:val="18"/>
              </w:rPr>
              <w:t>Judge Rejections</w:t>
            </w:r>
          </w:p>
        </w:tc>
        <w:tc>
          <w:tcPr>
            <w:tcW w:type="dxa" w:w="2551"/>
          </w:tcPr>
          <w:p>
            <w:pPr>
              <w:jc w:val="center"/>
            </w:pPr>
            <w:r>
              <w:rPr>
                <w:rFonts w:ascii="Arial" w:hAnsi="Arial"/>
                <w:sz w:val="18"/>
              </w:rPr>
              <w:t>188</w:t>
            </w:r>
          </w:p>
        </w:tc>
        <w:tc>
          <w:tcPr>
            <w:tcW w:type="dxa" w:w="2551"/>
          </w:tcPr>
          <w:p>
            <w:pPr>
              <w:jc w:val="center"/>
            </w:pPr>
            <w:r>
              <w:rPr>
                <w:rFonts w:ascii="Arial" w:hAnsi="Arial"/>
                <w:sz w:val="18"/>
              </w:rPr>
              <w:t>167</w:t>
            </w:r>
          </w:p>
        </w:tc>
      </w:tr>
      <w:tr>
        <w:tc>
          <w:tcPr>
            <w:tcW w:type="dxa" w:w="2835"/>
            <w:shd w:fill="F0F4FF"/>
          </w:tcPr>
          <w:p>
            <w:pPr>
              <w:jc w:val="center"/>
            </w:pPr>
            <w:r>
              <w:rPr>
                <w:rFonts w:ascii="Arial" w:hAnsi="Arial"/>
                <w:sz w:val="18"/>
              </w:rPr>
              <w:t>False Positives (dangerous)</w:t>
            </w:r>
          </w:p>
        </w:tc>
        <w:tc>
          <w:tcPr>
            <w:tcW w:type="dxa" w:w="2551"/>
            <w:shd w:fill="F0F4FF"/>
          </w:tcPr>
          <w:p>
            <w:pPr>
              <w:jc w:val="center"/>
            </w:pPr>
            <w:r>
              <w:rPr>
                <w:rFonts w:ascii="Arial" w:hAnsi="Arial"/>
                <w:sz w:val="18"/>
              </w:rPr>
              <w:t>18 (8.2%)</w:t>
            </w:r>
          </w:p>
        </w:tc>
        <w:tc>
          <w:tcPr>
            <w:tcW w:type="dxa" w:w="2551"/>
            <w:shd w:fill="F0F4FF"/>
          </w:tcPr>
          <w:p>
            <w:pPr>
              <w:jc w:val="center"/>
            </w:pPr>
            <w:r>
              <w:rPr>
                <w:rFonts w:ascii="Arial" w:hAnsi="Arial"/>
                <w:sz w:val="18"/>
              </w:rPr>
              <w:t>23 (9.6%)</w:t>
            </w:r>
          </w:p>
        </w:tc>
      </w:tr>
      <w:tr>
        <w:tc>
          <w:tcPr>
            <w:tcW w:type="dxa" w:w="2835"/>
          </w:tcPr>
          <w:p>
            <w:pPr>
              <w:jc w:val="center"/>
            </w:pPr>
            <w:r>
              <w:rPr>
                <w:rFonts w:ascii="Arial" w:hAnsi="Arial"/>
                <w:sz w:val="18"/>
              </w:rPr>
              <w:t>False Negatives (overly strict)</w:t>
            </w:r>
          </w:p>
        </w:tc>
        <w:tc>
          <w:tcPr>
            <w:tcW w:type="dxa" w:w="2551"/>
          </w:tcPr>
          <w:p>
            <w:pPr>
              <w:jc w:val="center"/>
            </w:pPr>
            <w:r>
              <w:rPr>
                <w:rFonts w:ascii="Arial" w:hAnsi="Arial"/>
                <w:sz w:val="18"/>
              </w:rPr>
              <w:t>56 (29.8%)</w:t>
            </w:r>
          </w:p>
        </w:tc>
        <w:tc>
          <w:tcPr>
            <w:tcW w:type="dxa" w:w="2551"/>
          </w:tcPr>
          <w:p>
            <w:pPr>
              <w:jc w:val="center"/>
            </w:pPr>
            <w:r>
              <w:rPr>
                <w:rFonts w:ascii="Arial" w:hAnsi="Arial"/>
                <w:sz w:val="18"/>
              </w:rPr>
              <w:t>40 (24.0%)</w:t>
            </w:r>
          </w:p>
        </w:tc>
      </w:tr>
    </w:tbl>
    <w:p/>
    <w:p>
      <w:r>
        <w:t>GPT-5.2: 18 false positives out of 219 approvals (8.2% dangerous error rate). 56 false negatives out of 188 rejections (29.8% overly strict rate).</w:t>
      </w:r>
    </w:p>
    <w:p>
      <w:r>
        <w:t>MedGemma 27B: 23 false positives out of 240 approvals (9.6% dangerous error rate). 40 false negatives out of 167 rejections (24.0% overly strict rate).</w:t>
      </w:r>
    </w:p>
    <w:p>
      <w:r>
        <w:br w:type="page"/>
      </w:r>
    </w:p>
    <w:p>
      <w:pPr>
        <w:pStyle w:val="Heading1"/>
      </w:pPr>
      <w:r>
        <w:t>18. Summary Comparison: GPT-5.2 vs MedGemma 27B</w:t>
      </w:r>
    </w:p>
    <w:p>
      <w:r>
        <w:t>Side-by-side comparison of all computed metrics for both AI judges.</w:t>
      </w:r>
    </w:p>
    <w:tbl>
      <w:tblPr>
        <w:tblW w:type="auto" w:w="0"/>
        <w:jc w:val="center"/>
        <w:tblLook w:firstColumn="1" w:firstRow="1" w:lastColumn="0" w:lastRow="0" w:noHBand="0" w:noVBand="1" w:val="04A0"/>
      </w:tblPr>
      <w:tblGrid>
        <w:gridCol w:w="2880"/>
        <w:gridCol w:w="2880"/>
        <w:gridCol w:w="2880"/>
      </w:tblGrid>
      <w:tr>
        <w:tc>
          <w:tcPr>
            <w:tcW w:type="dxa" w:w="3402"/>
            <w:shd w:fill="1E40AF"/>
          </w:tcPr>
          <w:p>
            <w:pPr>
              <w:jc w:val="center"/>
            </w:pPr>
            <w:r>
              <w:rPr>
                <w:rFonts w:ascii="Arial" w:hAnsi="Arial"/>
                <w:b/>
                <w:color w:val="FFFFFF"/>
                <w:sz w:val="18"/>
              </w:rPr>
              <w:t>Metric</w:t>
            </w:r>
          </w:p>
        </w:tc>
        <w:tc>
          <w:tcPr>
            <w:tcW w:type="dxa" w:w="2268"/>
            <w:shd w:fill="1E40AF"/>
          </w:tcPr>
          <w:p>
            <w:pPr>
              <w:jc w:val="center"/>
            </w:pPr>
            <w:r>
              <w:rPr>
                <w:rFonts w:ascii="Arial" w:hAnsi="Arial"/>
                <w:b/>
                <w:color w:val="FFFFFF"/>
                <w:sz w:val="18"/>
              </w:rPr>
              <w:t>GPT-5.2</w:t>
            </w:r>
          </w:p>
        </w:tc>
        <w:tc>
          <w:tcPr>
            <w:tcW w:type="dxa" w:w="2268"/>
            <w:shd w:fill="1E40AF"/>
          </w:tcPr>
          <w:p>
            <w:pPr>
              <w:jc w:val="center"/>
            </w:pPr>
            <w:r>
              <w:rPr>
                <w:rFonts w:ascii="Arial" w:hAnsi="Arial"/>
                <w:b/>
                <w:color w:val="FFFFFF"/>
                <w:sz w:val="18"/>
              </w:rPr>
              <w:t>MedGemma 27B</w:t>
            </w:r>
          </w:p>
        </w:tc>
      </w:tr>
      <w:tr>
        <w:tc>
          <w:tcPr>
            <w:tcW w:type="dxa" w:w="3402"/>
          </w:tcPr>
          <w:p>
            <w:pPr>
              <w:jc w:val="center"/>
            </w:pPr>
            <w:r>
              <w:rPr>
                <w:rFonts w:ascii="Arial" w:hAnsi="Arial"/>
                <w:sz w:val="18"/>
              </w:rPr>
              <w:t>Cohen's κ (vs Uro-Oncologist)</w:t>
            </w:r>
          </w:p>
        </w:tc>
        <w:tc>
          <w:tcPr>
            <w:tcW w:type="dxa" w:w="2268"/>
          </w:tcPr>
          <w:p>
            <w:pPr>
              <w:jc w:val="center"/>
            </w:pPr>
            <w:r>
              <w:rPr>
                <w:rFonts w:ascii="Arial" w:hAnsi="Arial"/>
                <w:sz w:val="18"/>
              </w:rPr>
              <w:t>0.629</w:t>
            </w:r>
          </w:p>
        </w:tc>
        <w:tc>
          <w:tcPr>
            <w:tcW w:type="dxa" w:w="2268"/>
          </w:tcPr>
          <w:p>
            <w:pPr>
              <w:jc w:val="center"/>
            </w:pPr>
            <w:r>
              <w:rPr>
                <w:rFonts w:ascii="Arial" w:hAnsi="Arial"/>
                <w:sz w:val="18"/>
              </w:rPr>
              <w:t>0.675</w:t>
            </w:r>
          </w:p>
        </w:tc>
      </w:tr>
      <w:tr>
        <w:tc>
          <w:tcPr>
            <w:tcW w:type="dxa" w:w="3402"/>
            <w:shd w:fill="F0F4FF"/>
          </w:tcPr>
          <w:p>
            <w:pPr>
              <w:jc w:val="center"/>
            </w:pPr>
            <w:r>
              <w:rPr>
                <w:rFonts w:ascii="Arial" w:hAnsi="Arial"/>
                <w:sz w:val="18"/>
              </w:rPr>
              <w:t>Agreement Rate</w:t>
            </w:r>
          </w:p>
        </w:tc>
        <w:tc>
          <w:tcPr>
            <w:tcW w:type="dxa" w:w="2268"/>
            <w:shd w:fill="F0F4FF"/>
          </w:tcPr>
          <w:p>
            <w:pPr>
              <w:jc w:val="center"/>
            </w:pPr>
            <w:r>
              <w:rPr>
                <w:rFonts w:ascii="Arial" w:hAnsi="Arial"/>
                <w:sz w:val="18"/>
              </w:rPr>
              <w:t>81.8%</w:t>
            </w:r>
          </w:p>
        </w:tc>
        <w:tc>
          <w:tcPr>
            <w:tcW w:type="dxa" w:w="2268"/>
            <w:shd w:fill="F0F4FF"/>
          </w:tcPr>
          <w:p>
            <w:pPr>
              <w:jc w:val="center"/>
            </w:pPr>
            <w:r>
              <w:rPr>
                <w:rFonts w:ascii="Arial" w:hAnsi="Arial"/>
                <w:sz w:val="18"/>
              </w:rPr>
              <w:t>84.5%</w:t>
            </w:r>
          </w:p>
        </w:tc>
      </w:tr>
      <w:tr>
        <w:tc>
          <w:tcPr>
            <w:tcW w:type="dxa" w:w="3402"/>
          </w:tcPr>
          <w:p>
            <w:pPr>
              <w:jc w:val="center"/>
            </w:pPr>
            <w:r>
              <w:rPr>
                <w:rFonts w:ascii="Arial" w:hAnsi="Arial"/>
                <w:sz w:val="18"/>
              </w:rPr>
              <w:t>Sensitivity</w:t>
            </w:r>
          </w:p>
        </w:tc>
        <w:tc>
          <w:tcPr>
            <w:tcW w:type="dxa" w:w="2268"/>
          </w:tcPr>
          <w:p>
            <w:pPr>
              <w:jc w:val="center"/>
            </w:pPr>
            <w:r>
              <w:rPr>
                <w:rFonts w:ascii="Arial" w:hAnsi="Arial"/>
                <w:sz w:val="18"/>
              </w:rPr>
              <w:t>0.782</w:t>
            </w:r>
          </w:p>
        </w:tc>
        <w:tc>
          <w:tcPr>
            <w:tcW w:type="dxa" w:w="2268"/>
          </w:tcPr>
          <w:p>
            <w:pPr>
              <w:jc w:val="center"/>
            </w:pPr>
            <w:r>
              <w:rPr>
                <w:rFonts w:ascii="Arial" w:hAnsi="Arial"/>
                <w:sz w:val="18"/>
              </w:rPr>
              <w:t>0.844</w:t>
            </w:r>
          </w:p>
        </w:tc>
      </w:tr>
      <w:tr>
        <w:tc>
          <w:tcPr>
            <w:tcW w:type="dxa" w:w="3402"/>
            <w:shd w:fill="F0F4FF"/>
          </w:tcPr>
          <w:p>
            <w:pPr>
              <w:jc w:val="center"/>
            </w:pPr>
            <w:r>
              <w:rPr>
                <w:rFonts w:ascii="Arial" w:hAnsi="Arial"/>
                <w:sz w:val="18"/>
              </w:rPr>
              <w:t>Specificity</w:t>
            </w:r>
          </w:p>
        </w:tc>
        <w:tc>
          <w:tcPr>
            <w:tcW w:type="dxa" w:w="2268"/>
            <w:shd w:fill="F0F4FF"/>
          </w:tcPr>
          <w:p>
            <w:pPr>
              <w:jc w:val="center"/>
            </w:pPr>
            <w:r>
              <w:rPr>
                <w:rFonts w:ascii="Arial" w:hAnsi="Arial"/>
                <w:sz w:val="18"/>
              </w:rPr>
              <w:t>0.880</w:t>
            </w:r>
          </w:p>
        </w:tc>
        <w:tc>
          <w:tcPr>
            <w:tcW w:type="dxa" w:w="2268"/>
            <w:shd w:fill="F0F4FF"/>
          </w:tcPr>
          <w:p>
            <w:pPr>
              <w:jc w:val="center"/>
            </w:pPr>
            <w:r>
              <w:rPr>
                <w:rFonts w:ascii="Arial" w:hAnsi="Arial"/>
                <w:sz w:val="18"/>
              </w:rPr>
              <w:t>0.847</w:t>
            </w:r>
          </w:p>
        </w:tc>
      </w:tr>
      <w:tr>
        <w:tc>
          <w:tcPr>
            <w:tcW w:type="dxa" w:w="3402"/>
          </w:tcPr>
          <w:p>
            <w:pPr>
              <w:jc w:val="center"/>
            </w:pPr>
            <w:r>
              <w:rPr>
                <w:rFonts w:ascii="Arial" w:hAnsi="Arial"/>
                <w:sz w:val="18"/>
              </w:rPr>
              <w:t>F1 Score</w:t>
            </w:r>
          </w:p>
        </w:tc>
        <w:tc>
          <w:tcPr>
            <w:tcW w:type="dxa" w:w="2268"/>
          </w:tcPr>
          <w:p>
            <w:pPr>
              <w:jc w:val="center"/>
            </w:pPr>
            <w:r>
              <w:rPr>
                <w:rFonts w:ascii="Arial" w:hAnsi="Arial"/>
                <w:sz w:val="18"/>
              </w:rPr>
              <w:t>0.845</w:t>
            </w:r>
          </w:p>
        </w:tc>
        <w:tc>
          <w:tcPr>
            <w:tcW w:type="dxa" w:w="2268"/>
          </w:tcPr>
          <w:p>
            <w:pPr>
              <w:jc w:val="center"/>
            </w:pPr>
            <w:r>
              <w:rPr>
                <w:rFonts w:ascii="Arial" w:hAnsi="Arial"/>
                <w:sz w:val="18"/>
              </w:rPr>
              <w:t>0.873</w:t>
            </w:r>
          </w:p>
        </w:tc>
      </w:tr>
      <w:tr>
        <w:tc>
          <w:tcPr>
            <w:tcW w:type="dxa" w:w="3402"/>
            <w:shd w:fill="F0F4FF"/>
          </w:tcPr>
          <w:p>
            <w:pPr>
              <w:jc w:val="center"/>
            </w:pPr>
            <w:r>
              <w:rPr>
                <w:rFonts w:ascii="Arial" w:hAnsi="Arial"/>
                <w:sz w:val="18"/>
              </w:rPr>
              <w:t>Corr: Quality (ρ)</w:t>
            </w:r>
          </w:p>
        </w:tc>
        <w:tc>
          <w:tcPr>
            <w:tcW w:type="dxa" w:w="2268"/>
            <w:shd w:fill="F0F4FF"/>
          </w:tcPr>
          <w:p>
            <w:pPr>
              <w:jc w:val="center"/>
            </w:pPr>
            <w:r>
              <w:rPr>
                <w:rFonts w:ascii="Arial" w:hAnsi="Arial"/>
                <w:sz w:val="18"/>
              </w:rPr>
              <w:t>0.722</w:t>
            </w:r>
          </w:p>
        </w:tc>
        <w:tc>
          <w:tcPr>
            <w:tcW w:type="dxa" w:w="2268"/>
            <w:shd w:fill="F0F4FF"/>
          </w:tcPr>
          <w:p>
            <w:pPr>
              <w:jc w:val="center"/>
            </w:pPr>
            <w:r>
              <w:rPr>
                <w:rFonts w:ascii="Arial" w:hAnsi="Arial"/>
                <w:sz w:val="18"/>
              </w:rPr>
              <w:t>0.661</w:t>
            </w:r>
          </w:p>
        </w:tc>
      </w:tr>
      <w:tr>
        <w:tc>
          <w:tcPr>
            <w:tcW w:type="dxa" w:w="3402"/>
          </w:tcPr>
          <w:p>
            <w:pPr>
              <w:jc w:val="center"/>
            </w:pPr>
            <w:r>
              <w:rPr>
                <w:rFonts w:ascii="Arial" w:hAnsi="Arial"/>
                <w:sz w:val="18"/>
              </w:rPr>
              <w:t>Corr: Exact Match (ρ)</w:t>
            </w:r>
          </w:p>
        </w:tc>
        <w:tc>
          <w:tcPr>
            <w:tcW w:type="dxa" w:w="2268"/>
          </w:tcPr>
          <w:p>
            <w:pPr>
              <w:jc w:val="center"/>
            </w:pPr>
            <w:r>
              <w:rPr>
                <w:rFonts w:ascii="Arial" w:hAnsi="Arial"/>
                <w:sz w:val="18"/>
              </w:rPr>
              <w:t>0.766</w:t>
            </w:r>
          </w:p>
        </w:tc>
        <w:tc>
          <w:tcPr>
            <w:tcW w:type="dxa" w:w="2268"/>
          </w:tcPr>
          <w:p>
            <w:pPr>
              <w:jc w:val="center"/>
            </w:pPr>
            <w:r>
              <w:rPr>
                <w:rFonts w:ascii="Arial" w:hAnsi="Arial"/>
                <w:sz w:val="18"/>
              </w:rPr>
              <w:t>0.694</w:t>
            </w:r>
          </w:p>
        </w:tc>
      </w:tr>
      <w:tr>
        <w:tc>
          <w:tcPr>
            <w:tcW w:type="dxa" w:w="3402"/>
            <w:shd w:fill="F0F4FF"/>
          </w:tcPr>
          <w:p>
            <w:pPr>
              <w:jc w:val="center"/>
            </w:pPr>
            <w:r>
              <w:rPr>
                <w:rFonts w:ascii="Arial" w:hAnsi="Arial"/>
                <w:sz w:val="18"/>
              </w:rPr>
              <w:t>Uro-Oncologist Agree %</w:t>
            </w:r>
          </w:p>
        </w:tc>
        <w:tc>
          <w:tcPr>
            <w:tcW w:type="dxa" w:w="2268"/>
            <w:shd w:fill="F0F4FF"/>
          </w:tcPr>
          <w:p>
            <w:pPr>
              <w:jc w:val="center"/>
            </w:pPr>
            <w:r>
              <w:rPr>
                <w:rFonts w:ascii="Arial" w:hAnsi="Arial"/>
                <w:sz w:val="18"/>
              </w:rPr>
              <w:t>85.0%</w:t>
            </w:r>
          </w:p>
        </w:tc>
        <w:tc>
          <w:tcPr>
            <w:tcW w:type="dxa" w:w="2268"/>
            <w:shd w:fill="F0F4FF"/>
          </w:tcPr>
          <w:p>
            <w:pPr>
              <w:jc w:val="center"/>
            </w:pPr>
            <w:r>
              <w:rPr>
                <w:rFonts w:ascii="Arial" w:hAnsi="Arial"/>
                <w:sz w:val="18"/>
              </w:rPr>
              <w:t>85.3%</w:t>
            </w:r>
          </w:p>
        </w:tc>
      </w:tr>
      <w:tr>
        <w:tc>
          <w:tcPr>
            <w:tcW w:type="dxa" w:w="3402"/>
          </w:tcPr>
          <w:p>
            <w:pPr>
              <w:jc w:val="center"/>
            </w:pPr>
            <w:r>
              <w:rPr>
                <w:rFonts w:ascii="Arial" w:hAnsi="Arial"/>
                <w:sz w:val="18"/>
              </w:rPr>
              <w:t>Avg Reasoning Quality</w:t>
            </w:r>
          </w:p>
        </w:tc>
        <w:tc>
          <w:tcPr>
            <w:tcW w:type="dxa" w:w="2268"/>
          </w:tcPr>
          <w:p>
            <w:pPr>
              <w:jc w:val="center"/>
            </w:pPr>
            <w:r>
              <w:rPr>
                <w:rFonts w:ascii="Arial" w:hAnsi="Arial"/>
                <w:sz w:val="18"/>
              </w:rPr>
              <w:t>7.1/10</w:t>
            </w:r>
          </w:p>
        </w:tc>
        <w:tc>
          <w:tcPr>
            <w:tcW w:type="dxa" w:w="2268"/>
          </w:tcPr>
          <w:p>
            <w:pPr>
              <w:jc w:val="center"/>
            </w:pPr>
            <w:r>
              <w:rPr>
                <w:rFonts w:ascii="Arial" w:hAnsi="Arial"/>
                <w:sz w:val="18"/>
              </w:rPr>
              <w:t>7.2/10</w:t>
            </w:r>
          </w:p>
        </w:tc>
      </w:tr>
      <w:tr>
        <w:tc>
          <w:tcPr>
            <w:tcW w:type="dxa" w:w="3402"/>
            <w:shd w:fill="F0F4FF"/>
          </w:tcPr>
          <w:p>
            <w:pPr>
              <w:jc w:val="center"/>
            </w:pPr>
            <w:r>
              <w:rPr>
                <w:rFonts w:ascii="Arial" w:hAnsi="Arial"/>
                <w:sz w:val="18"/>
              </w:rPr>
              <w:t>False Positive Rate</w:t>
            </w:r>
          </w:p>
        </w:tc>
        <w:tc>
          <w:tcPr>
            <w:tcW w:type="dxa" w:w="2268"/>
            <w:shd w:fill="F0F4FF"/>
          </w:tcPr>
          <w:p>
            <w:pPr>
              <w:jc w:val="center"/>
            </w:pPr>
            <w:r>
              <w:rPr>
                <w:rFonts w:ascii="Arial" w:hAnsi="Arial"/>
                <w:sz w:val="18"/>
              </w:rPr>
              <w:t>8.2%</w:t>
            </w:r>
          </w:p>
        </w:tc>
        <w:tc>
          <w:tcPr>
            <w:tcW w:type="dxa" w:w="2268"/>
            <w:shd w:fill="F0F4FF"/>
          </w:tcPr>
          <w:p>
            <w:pPr>
              <w:jc w:val="center"/>
            </w:pPr>
            <w:r>
              <w:rPr>
                <w:rFonts w:ascii="Arial" w:hAnsi="Arial"/>
                <w:sz w:val="18"/>
              </w:rPr>
              <w:t>9.6%</w:t>
            </w:r>
          </w:p>
        </w:tc>
      </w:tr>
      <w:tr>
        <w:tc>
          <w:tcPr>
            <w:tcW w:type="dxa" w:w="3402"/>
          </w:tcPr>
          <w:p>
            <w:pPr>
              <w:jc w:val="center"/>
            </w:pPr>
            <w:r>
              <w:rPr>
                <w:rFonts w:ascii="Arial" w:hAnsi="Arial"/>
                <w:sz w:val="18"/>
              </w:rPr>
              <w:t>False Negative Rate</w:t>
            </w:r>
          </w:p>
        </w:tc>
        <w:tc>
          <w:tcPr>
            <w:tcW w:type="dxa" w:w="2268"/>
          </w:tcPr>
          <w:p>
            <w:pPr>
              <w:jc w:val="center"/>
            </w:pPr>
            <w:r>
              <w:rPr>
                <w:rFonts w:ascii="Arial" w:hAnsi="Arial"/>
                <w:sz w:val="18"/>
              </w:rPr>
              <w:t>29.8%</w:t>
            </w:r>
          </w:p>
        </w:tc>
        <w:tc>
          <w:tcPr>
            <w:tcW w:type="dxa" w:w="2268"/>
          </w:tcPr>
          <w:p>
            <w:pPr>
              <w:jc w:val="center"/>
            </w:pPr>
            <w:r>
              <w:rPr>
                <w:rFonts w:ascii="Arial" w:hAnsi="Arial"/>
                <w:sz w:val="18"/>
              </w:rPr>
              <w:t>24.0%</w:t>
            </w:r>
          </w:p>
        </w:tc>
      </w:tr>
      <w:tr>
        <w:tc>
          <w:tcPr>
            <w:tcW w:type="dxa" w:w="3402"/>
            <w:shd w:fill="F0F4FF"/>
          </w:tcPr>
          <w:p>
            <w:pPr>
              <w:jc w:val="center"/>
            </w:pPr>
            <w:r>
              <w:rPr>
                <w:rFonts w:ascii="Arial" w:hAnsi="Arial"/>
                <w:sz w:val="18"/>
              </w:rPr>
              <w:t>Avg Overall Score</w:t>
            </w:r>
          </w:p>
        </w:tc>
        <w:tc>
          <w:tcPr>
            <w:tcW w:type="dxa" w:w="2268"/>
            <w:shd w:fill="F0F4FF"/>
          </w:tcPr>
          <w:p>
            <w:pPr>
              <w:jc w:val="center"/>
            </w:pPr>
            <w:r>
              <w:rPr>
                <w:rFonts w:ascii="Arial" w:hAnsi="Arial"/>
                <w:sz w:val="18"/>
              </w:rPr>
              <w:t>0.658</w:t>
            </w:r>
          </w:p>
        </w:tc>
        <w:tc>
          <w:tcPr>
            <w:tcW w:type="dxa" w:w="2268"/>
            <w:shd w:fill="F0F4FF"/>
          </w:tcPr>
          <w:p>
            <w:pPr>
              <w:jc w:val="center"/>
            </w:pPr>
            <w:r>
              <w:rPr>
                <w:rFonts w:ascii="Arial" w:hAnsi="Arial"/>
                <w:sz w:val="18"/>
              </w:rPr>
              <w:t>0.708</w:t>
            </w:r>
          </w:p>
        </w:tc>
      </w:tr>
      <w:tr>
        <w:tc>
          <w:tcPr>
            <w:tcW w:type="dxa" w:w="3402"/>
          </w:tcPr>
          <w:p>
            <w:pPr>
              <w:jc w:val="center"/>
            </w:pPr>
            <w:r>
              <w:rPr>
                <w:rFonts w:ascii="Arial" w:hAnsi="Arial"/>
                <w:sz w:val="18"/>
              </w:rPr>
              <w:t>Avg Clinical Score</w:t>
            </w:r>
          </w:p>
        </w:tc>
        <w:tc>
          <w:tcPr>
            <w:tcW w:type="dxa" w:w="2268"/>
          </w:tcPr>
          <w:p>
            <w:pPr>
              <w:jc w:val="center"/>
            </w:pPr>
            <w:r>
              <w:rPr>
                <w:rFonts w:ascii="Arial" w:hAnsi="Arial"/>
                <w:sz w:val="18"/>
              </w:rPr>
              <w:t>0.722</w:t>
            </w:r>
          </w:p>
        </w:tc>
        <w:tc>
          <w:tcPr>
            <w:tcW w:type="dxa" w:w="2268"/>
          </w:tcPr>
          <w:p>
            <w:pPr>
              <w:jc w:val="center"/>
            </w:pPr>
            <w:r>
              <w:rPr>
                <w:rFonts w:ascii="Arial" w:hAnsi="Arial"/>
                <w:sz w:val="18"/>
              </w:rPr>
              <w:t>0.798</w:t>
            </w:r>
          </w:p>
        </w:tc>
      </w:tr>
      <w:tr>
        <w:tc>
          <w:tcPr>
            <w:tcW w:type="dxa" w:w="3402"/>
            <w:shd w:fill="F0F4FF"/>
          </w:tcPr>
          <w:p>
            <w:pPr>
              <w:jc w:val="center"/>
            </w:pPr>
            <w:r>
              <w:rPr>
                <w:rFonts w:ascii="Arial" w:hAnsi="Arial"/>
                <w:sz w:val="18"/>
              </w:rPr>
              <w:t>Avg Semantic Score</w:t>
            </w:r>
          </w:p>
        </w:tc>
        <w:tc>
          <w:tcPr>
            <w:tcW w:type="dxa" w:w="2268"/>
            <w:shd w:fill="F0F4FF"/>
          </w:tcPr>
          <w:p>
            <w:pPr>
              <w:jc w:val="center"/>
            </w:pPr>
            <w:r>
              <w:rPr>
                <w:rFonts w:ascii="Arial" w:hAnsi="Arial"/>
                <w:sz w:val="18"/>
              </w:rPr>
              <w:t>0.651</w:t>
            </w:r>
          </w:p>
        </w:tc>
        <w:tc>
          <w:tcPr>
            <w:tcW w:type="dxa" w:w="2268"/>
            <w:shd w:fill="F0F4FF"/>
          </w:tcPr>
          <w:p>
            <w:pPr>
              <w:jc w:val="center"/>
            </w:pPr>
            <w:r>
              <w:rPr>
                <w:rFonts w:ascii="Arial" w:hAnsi="Arial"/>
                <w:sz w:val="18"/>
              </w:rPr>
              <w:t>0.671</w:t>
            </w:r>
          </w:p>
        </w:tc>
      </w:tr>
      <w:tr>
        <w:tc>
          <w:tcPr>
            <w:tcW w:type="dxa" w:w="3402"/>
          </w:tcPr>
          <w:p>
            <w:pPr>
              <w:jc w:val="center"/>
            </w:pPr>
            <w:r>
              <w:rPr>
                <w:rFonts w:ascii="Arial" w:hAnsi="Arial"/>
                <w:sz w:val="18"/>
              </w:rPr>
              <w:t>Avg Reasoning Score</w:t>
            </w:r>
          </w:p>
        </w:tc>
        <w:tc>
          <w:tcPr>
            <w:tcW w:type="dxa" w:w="2268"/>
          </w:tcPr>
          <w:p>
            <w:pPr>
              <w:jc w:val="center"/>
            </w:pPr>
            <w:r>
              <w:rPr>
                <w:rFonts w:ascii="Arial" w:hAnsi="Arial"/>
                <w:sz w:val="18"/>
              </w:rPr>
              <w:t>0.545</w:t>
            </w:r>
          </w:p>
        </w:tc>
        <w:tc>
          <w:tcPr>
            <w:tcW w:type="dxa" w:w="2268"/>
          </w:tcPr>
          <w:p>
            <w:pPr>
              <w:jc w:val="center"/>
            </w:pPr>
            <w:r>
              <w:rPr>
                <w:rFonts w:ascii="Arial" w:hAnsi="Arial"/>
                <w:sz w:val="18"/>
              </w:rPr>
              <w:t>0.712</w:t>
            </w:r>
          </w:p>
        </w:tc>
      </w:tr>
    </w:tbl>
    <w:p>
      <w:r>
        <w:br w:type="page"/>
      </w:r>
    </w:p>
    <w:p>
      <w:pPr>
        <w:pStyle w:val="Heading1"/>
      </w:pPr>
      <w:r>
        <w:t>19. German–English Medical Glossary</w:t>
      </w:r>
    </w:p>
    <w:p>
      <w:r>
        <w:t>Key German medical terms used throughout this report and the clinical case data. Terms are preserved in their original German form to maintain clinical precision.</w:t>
      </w:r>
    </w:p>
    <w:tbl>
      <w:tblPr>
        <w:tblW w:type="auto" w:w="0"/>
        <w:jc w:val="center"/>
        <w:tblLook w:firstColumn="1" w:firstRow="1" w:lastColumn="0" w:lastRow="0" w:noHBand="0" w:noVBand="1" w:val="04A0"/>
      </w:tblPr>
      <w:tblGrid>
        <w:gridCol w:w="2880"/>
        <w:gridCol w:w="2880"/>
        <w:gridCol w:w="2880"/>
      </w:tblGrid>
      <w:tr>
        <w:tc>
          <w:tcPr>
            <w:tcW w:type="dxa" w:w="2551"/>
            <w:shd w:fill="1E40AF"/>
          </w:tcPr>
          <w:p>
            <w:pPr>
              <w:jc w:val="center"/>
            </w:pPr>
            <w:r>
              <w:rPr>
                <w:rFonts w:ascii="Arial" w:hAnsi="Arial"/>
                <w:b/>
                <w:color w:val="FFFFFF"/>
                <w:sz w:val="18"/>
              </w:rPr>
              <w:t>German Term</w:t>
            </w:r>
          </w:p>
        </w:tc>
        <w:tc>
          <w:tcPr>
            <w:tcW w:type="dxa" w:w="2268"/>
            <w:shd w:fill="1E40AF"/>
          </w:tcPr>
          <w:p>
            <w:pPr>
              <w:jc w:val="center"/>
            </w:pPr>
            <w:r>
              <w:rPr>
                <w:rFonts w:ascii="Arial" w:hAnsi="Arial"/>
                <w:b/>
                <w:color w:val="FFFFFF"/>
                <w:sz w:val="18"/>
              </w:rPr>
              <w:t>English Translation</w:t>
            </w:r>
          </w:p>
        </w:tc>
        <w:tc>
          <w:tcPr>
            <w:tcW w:type="dxa" w:w="3118"/>
            <w:shd w:fill="1E40AF"/>
          </w:tcPr>
          <w:p>
            <w:pPr>
              <w:jc w:val="center"/>
            </w:pPr>
            <w:r>
              <w:rPr>
                <w:rFonts w:ascii="Arial" w:hAnsi="Arial"/>
                <w:b/>
                <w:color w:val="FFFFFF"/>
                <w:sz w:val="18"/>
              </w:rPr>
              <w:t>Context</w:t>
            </w:r>
          </w:p>
        </w:tc>
      </w:tr>
      <w:tr>
        <w:tc>
          <w:tcPr>
            <w:tcW w:type="dxa" w:w="2551"/>
          </w:tcPr>
          <w:p>
            <w:pPr>
              <w:jc w:val="center"/>
            </w:pPr>
            <w:r>
              <w:rPr>
                <w:rFonts w:ascii="Arial" w:hAnsi="Arial"/>
                <w:sz w:val="18"/>
              </w:rPr>
              <w:t>Nierenzellkarzinom (NCC/RCC)</w:t>
            </w:r>
          </w:p>
        </w:tc>
        <w:tc>
          <w:tcPr>
            <w:tcW w:type="dxa" w:w="2268"/>
          </w:tcPr>
          <w:p>
            <w:pPr>
              <w:jc w:val="center"/>
            </w:pPr>
            <w:r>
              <w:rPr>
                <w:rFonts w:ascii="Arial" w:hAnsi="Arial"/>
                <w:sz w:val="18"/>
              </w:rPr>
              <w:t>Renal Cell Carcinoma</w:t>
            </w:r>
          </w:p>
        </w:tc>
        <w:tc>
          <w:tcPr>
            <w:tcW w:type="dxa" w:w="3118"/>
          </w:tcPr>
          <w:p>
            <w:pPr>
              <w:jc w:val="center"/>
            </w:pPr>
            <w:r>
              <w:rPr>
                <w:rFonts w:ascii="Arial" w:hAnsi="Arial"/>
                <w:sz w:val="18"/>
              </w:rPr>
              <w:t>Primary cancer type in this study</w:t>
            </w:r>
          </w:p>
        </w:tc>
      </w:tr>
      <w:tr>
        <w:tc>
          <w:tcPr>
            <w:tcW w:type="dxa" w:w="2551"/>
            <w:shd w:fill="F0F4FF"/>
          </w:tcPr>
          <w:p>
            <w:pPr>
              <w:jc w:val="center"/>
            </w:pPr>
            <w:r>
              <w:rPr>
                <w:rFonts w:ascii="Arial" w:hAnsi="Arial"/>
                <w:sz w:val="18"/>
              </w:rPr>
              <w:t>Tumordiskussion / Tumorboard</w:t>
            </w:r>
          </w:p>
        </w:tc>
        <w:tc>
          <w:tcPr>
            <w:tcW w:type="dxa" w:w="2268"/>
            <w:shd w:fill="F0F4FF"/>
          </w:tcPr>
          <w:p>
            <w:pPr>
              <w:jc w:val="center"/>
            </w:pPr>
            <w:r>
              <w:rPr>
                <w:rFonts w:ascii="Arial" w:hAnsi="Arial"/>
                <w:sz w:val="18"/>
              </w:rPr>
              <w:t>Tumor Board Discussion</w:t>
            </w:r>
          </w:p>
        </w:tc>
        <w:tc>
          <w:tcPr>
            <w:tcW w:type="dxa" w:w="3118"/>
            <w:shd w:fill="F0F4FF"/>
          </w:tcPr>
          <w:p>
            <w:pPr>
              <w:jc w:val="center"/>
            </w:pPr>
            <w:r>
              <w:rPr>
                <w:rFonts w:ascii="Arial" w:hAnsi="Arial"/>
                <w:sz w:val="18"/>
              </w:rPr>
              <w:t>Multidisciplinary case conference</w:t>
            </w:r>
          </w:p>
        </w:tc>
      </w:tr>
      <w:tr>
        <w:tc>
          <w:tcPr>
            <w:tcW w:type="dxa" w:w="2551"/>
          </w:tcPr>
          <w:p>
            <w:pPr>
              <w:jc w:val="center"/>
            </w:pPr>
            <w:r>
              <w:rPr>
                <w:rFonts w:ascii="Arial" w:hAnsi="Arial"/>
                <w:sz w:val="18"/>
              </w:rPr>
              <w:t>Systemtherapie</w:t>
            </w:r>
          </w:p>
        </w:tc>
        <w:tc>
          <w:tcPr>
            <w:tcW w:type="dxa" w:w="2268"/>
          </w:tcPr>
          <w:p>
            <w:pPr>
              <w:jc w:val="center"/>
            </w:pPr>
            <w:r>
              <w:rPr>
                <w:rFonts w:ascii="Arial" w:hAnsi="Arial"/>
                <w:sz w:val="18"/>
              </w:rPr>
              <w:t>Systemic Therapy</w:t>
            </w:r>
          </w:p>
        </w:tc>
        <w:tc>
          <w:tcPr>
            <w:tcW w:type="dxa" w:w="3118"/>
          </w:tcPr>
          <w:p>
            <w:pPr>
              <w:jc w:val="center"/>
            </w:pPr>
            <w:r>
              <w:rPr>
                <w:rFonts w:ascii="Arial" w:hAnsi="Arial"/>
                <w:sz w:val="18"/>
              </w:rPr>
              <w:t>Drug-based cancer treatment (chemo, IO, TKI)</w:t>
            </w:r>
          </w:p>
        </w:tc>
      </w:tr>
      <w:tr>
        <w:tc>
          <w:tcPr>
            <w:tcW w:type="dxa" w:w="2551"/>
            <w:shd w:fill="F0F4FF"/>
          </w:tcPr>
          <w:p>
            <w:pPr>
              <w:jc w:val="center"/>
            </w:pPr>
            <w:r>
              <w:rPr>
                <w:rFonts w:ascii="Arial" w:hAnsi="Arial"/>
                <w:sz w:val="18"/>
              </w:rPr>
              <w:t>Klarzellig (ccRCC)</w:t>
            </w:r>
          </w:p>
        </w:tc>
        <w:tc>
          <w:tcPr>
            <w:tcW w:type="dxa" w:w="2268"/>
            <w:shd w:fill="F0F4FF"/>
          </w:tcPr>
          <w:p>
            <w:pPr>
              <w:jc w:val="center"/>
            </w:pPr>
            <w:r>
              <w:rPr>
                <w:rFonts w:ascii="Arial" w:hAnsi="Arial"/>
                <w:sz w:val="18"/>
              </w:rPr>
              <w:t>Clear Cell</w:t>
            </w:r>
          </w:p>
        </w:tc>
        <w:tc>
          <w:tcPr>
            <w:tcW w:type="dxa" w:w="3118"/>
            <w:shd w:fill="F0F4FF"/>
          </w:tcPr>
          <w:p>
            <w:pPr>
              <w:jc w:val="center"/>
            </w:pPr>
            <w:r>
              <w:rPr>
                <w:rFonts w:ascii="Arial" w:hAnsi="Arial"/>
                <w:sz w:val="18"/>
              </w:rPr>
              <w:t>Most common RCC histological subtype</w:t>
            </w:r>
          </w:p>
        </w:tc>
      </w:tr>
      <w:tr>
        <w:tc>
          <w:tcPr>
            <w:tcW w:type="dxa" w:w="2551"/>
          </w:tcPr>
          <w:p>
            <w:pPr>
              <w:jc w:val="center"/>
            </w:pPr>
            <w:r>
              <w:rPr>
                <w:rFonts w:ascii="Arial" w:hAnsi="Arial"/>
                <w:sz w:val="18"/>
              </w:rPr>
              <w:t>Metastasiert</w:t>
            </w:r>
          </w:p>
        </w:tc>
        <w:tc>
          <w:tcPr>
            <w:tcW w:type="dxa" w:w="2268"/>
          </w:tcPr>
          <w:p>
            <w:pPr>
              <w:jc w:val="center"/>
            </w:pPr>
            <w:r>
              <w:rPr>
                <w:rFonts w:ascii="Arial" w:hAnsi="Arial"/>
                <w:sz w:val="18"/>
              </w:rPr>
              <w:t>Metastatic</w:t>
            </w:r>
          </w:p>
        </w:tc>
        <w:tc>
          <w:tcPr>
            <w:tcW w:type="dxa" w:w="3118"/>
          </w:tcPr>
          <w:p>
            <w:pPr>
              <w:jc w:val="center"/>
            </w:pPr>
            <w:r>
              <w:rPr>
                <w:rFonts w:ascii="Arial" w:hAnsi="Arial"/>
                <w:sz w:val="18"/>
              </w:rPr>
              <w:t>Cancer spread beyond primary organ</w:t>
            </w:r>
          </w:p>
        </w:tc>
      </w:tr>
      <w:tr>
        <w:tc>
          <w:tcPr>
            <w:tcW w:type="dxa" w:w="2551"/>
            <w:shd w:fill="F0F4FF"/>
          </w:tcPr>
          <w:p>
            <w:pPr>
              <w:jc w:val="center"/>
            </w:pPr>
            <w:r>
              <w:rPr>
                <w:rFonts w:ascii="Arial" w:hAnsi="Arial"/>
                <w:sz w:val="18"/>
              </w:rPr>
              <w:t>Lokalisiert</w:t>
            </w:r>
          </w:p>
        </w:tc>
        <w:tc>
          <w:tcPr>
            <w:tcW w:type="dxa" w:w="2268"/>
            <w:shd w:fill="F0F4FF"/>
          </w:tcPr>
          <w:p>
            <w:pPr>
              <w:jc w:val="center"/>
            </w:pPr>
            <w:r>
              <w:rPr>
                <w:rFonts w:ascii="Arial" w:hAnsi="Arial"/>
                <w:sz w:val="18"/>
              </w:rPr>
              <w:t>Localized</w:t>
            </w:r>
          </w:p>
        </w:tc>
        <w:tc>
          <w:tcPr>
            <w:tcW w:type="dxa" w:w="3118"/>
            <w:shd w:fill="F0F4FF"/>
          </w:tcPr>
          <w:p>
            <w:pPr>
              <w:jc w:val="center"/>
            </w:pPr>
            <w:r>
              <w:rPr>
                <w:rFonts w:ascii="Arial" w:hAnsi="Arial"/>
                <w:sz w:val="18"/>
              </w:rPr>
              <w:t>Cancer confined to primary organ</w:t>
            </w:r>
          </w:p>
        </w:tc>
      </w:tr>
      <w:tr>
        <w:tc>
          <w:tcPr>
            <w:tcW w:type="dxa" w:w="2551"/>
          </w:tcPr>
          <w:p>
            <w:pPr>
              <w:jc w:val="center"/>
            </w:pPr>
            <w:r>
              <w:rPr>
                <w:rFonts w:ascii="Arial" w:hAnsi="Arial"/>
                <w:sz w:val="18"/>
              </w:rPr>
              <w:t>Nephrektomie</w:t>
            </w:r>
          </w:p>
        </w:tc>
        <w:tc>
          <w:tcPr>
            <w:tcW w:type="dxa" w:w="2268"/>
          </w:tcPr>
          <w:p>
            <w:pPr>
              <w:jc w:val="center"/>
            </w:pPr>
            <w:r>
              <w:rPr>
                <w:rFonts w:ascii="Arial" w:hAnsi="Arial"/>
                <w:sz w:val="18"/>
              </w:rPr>
              <w:t>Nephrectomy</w:t>
            </w:r>
          </w:p>
        </w:tc>
        <w:tc>
          <w:tcPr>
            <w:tcW w:type="dxa" w:w="3118"/>
          </w:tcPr>
          <w:p>
            <w:pPr>
              <w:jc w:val="center"/>
            </w:pPr>
            <w:r>
              <w:rPr>
                <w:rFonts w:ascii="Arial" w:hAnsi="Arial"/>
                <w:sz w:val="18"/>
              </w:rPr>
              <w:t>Surgical removal of kidney</w:t>
            </w:r>
          </w:p>
        </w:tc>
      </w:tr>
      <w:tr>
        <w:tc>
          <w:tcPr>
            <w:tcW w:type="dxa" w:w="2551"/>
            <w:shd w:fill="F0F4FF"/>
          </w:tcPr>
          <w:p>
            <w:pPr>
              <w:jc w:val="center"/>
            </w:pPr>
            <w:r>
              <w:rPr>
                <w:rFonts w:ascii="Arial" w:hAnsi="Arial"/>
                <w:sz w:val="18"/>
              </w:rPr>
              <w:t>Erstlinientherapie</w:t>
            </w:r>
          </w:p>
        </w:tc>
        <w:tc>
          <w:tcPr>
            <w:tcW w:type="dxa" w:w="2268"/>
            <w:shd w:fill="F0F4FF"/>
          </w:tcPr>
          <w:p>
            <w:pPr>
              <w:jc w:val="center"/>
            </w:pPr>
            <w:r>
              <w:rPr>
                <w:rFonts w:ascii="Arial" w:hAnsi="Arial"/>
                <w:sz w:val="18"/>
              </w:rPr>
              <w:t>First-line Therapy</w:t>
            </w:r>
          </w:p>
        </w:tc>
        <w:tc>
          <w:tcPr>
            <w:tcW w:type="dxa" w:w="3118"/>
            <w:shd w:fill="F0F4FF"/>
          </w:tcPr>
          <w:p>
            <w:pPr>
              <w:jc w:val="center"/>
            </w:pPr>
            <w:r>
              <w:rPr>
                <w:rFonts w:ascii="Arial" w:hAnsi="Arial"/>
                <w:sz w:val="18"/>
              </w:rPr>
              <w:t>Initial treatment regimen</w:t>
            </w:r>
          </w:p>
        </w:tc>
      </w:tr>
      <w:tr>
        <w:tc>
          <w:tcPr>
            <w:tcW w:type="dxa" w:w="2551"/>
          </w:tcPr>
          <w:p>
            <w:pPr>
              <w:jc w:val="center"/>
            </w:pPr>
            <w:r>
              <w:rPr>
                <w:rFonts w:ascii="Arial" w:hAnsi="Arial"/>
                <w:sz w:val="18"/>
              </w:rPr>
              <w:t>Zweitlinientherapie</w:t>
            </w:r>
          </w:p>
        </w:tc>
        <w:tc>
          <w:tcPr>
            <w:tcW w:type="dxa" w:w="2268"/>
          </w:tcPr>
          <w:p>
            <w:pPr>
              <w:jc w:val="center"/>
            </w:pPr>
            <w:r>
              <w:rPr>
                <w:rFonts w:ascii="Arial" w:hAnsi="Arial"/>
                <w:sz w:val="18"/>
              </w:rPr>
              <w:t>Second-line Therapy</w:t>
            </w:r>
          </w:p>
        </w:tc>
        <w:tc>
          <w:tcPr>
            <w:tcW w:type="dxa" w:w="3118"/>
          </w:tcPr>
          <w:p>
            <w:pPr>
              <w:jc w:val="center"/>
            </w:pPr>
            <w:r>
              <w:rPr>
                <w:rFonts w:ascii="Arial" w:hAnsi="Arial"/>
                <w:sz w:val="18"/>
              </w:rPr>
              <w:t>Treatment after first-line failure</w:t>
            </w:r>
          </w:p>
        </w:tc>
      </w:tr>
      <w:tr>
        <w:tc>
          <w:tcPr>
            <w:tcW w:type="dxa" w:w="2551"/>
            <w:shd w:fill="F0F4FF"/>
          </w:tcPr>
          <w:p>
            <w:pPr>
              <w:jc w:val="center"/>
            </w:pPr>
            <w:r>
              <w:rPr>
                <w:rFonts w:ascii="Arial" w:hAnsi="Arial"/>
                <w:sz w:val="18"/>
              </w:rPr>
              <w:t>Lebenserwartung</w:t>
            </w:r>
          </w:p>
        </w:tc>
        <w:tc>
          <w:tcPr>
            <w:tcW w:type="dxa" w:w="2268"/>
            <w:shd w:fill="F0F4FF"/>
          </w:tcPr>
          <w:p>
            <w:pPr>
              <w:jc w:val="center"/>
            </w:pPr>
            <w:r>
              <w:rPr>
                <w:rFonts w:ascii="Arial" w:hAnsi="Arial"/>
                <w:sz w:val="18"/>
              </w:rPr>
              <w:t>Life Expectancy</w:t>
            </w:r>
          </w:p>
        </w:tc>
        <w:tc>
          <w:tcPr>
            <w:tcW w:type="dxa" w:w="3118"/>
            <w:shd w:fill="F0F4FF"/>
          </w:tcPr>
          <w:p>
            <w:pPr>
              <w:jc w:val="center"/>
            </w:pPr>
            <w:r>
              <w:rPr>
                <w:rFonts w:ascii="Arial" w:hAnsi="Arial"/>
                <w:sz w:val="18"/>
              </w:rPr>
              <w:t>Estimated patient survival time</w:t>
            </w:r>
          </w:p>
        </w:tc>
      </w:tr>
      <w:tr>
        <w:tc>
          <w:tcPr>
            <w:tcW w:type="dxa" w:w="2551"/>
          </w:tcPr>
          <w:p>
            <w:pPr>
              <w:jc w:val="center"/>
            </w:pPr>
            <w:r>
              <w:rPr>
                <w:rFonts w:ascii="Arial" w:hAnsi="Arial"/>
                <w:sz w:val="18"/>
              </w:rPr>
              <w:t>Nebendiagnosen</w:t>
            </w:r>
          </w:p>
        </w:tc>
        <w:tc>
          <w:tcPr>
            <w:tcW w:type="dxa" w:w="2268"/>
          </w:tcPr>
          <w:p>
            <w:pPr>
              <w:jc w:val="center"/>
            </w:pPr>
            <w:r>
              <w:rPr>
                <w:rFonts w:ascii="Arial" w:hAnsi="Arial"/>
                <w:sz w:val="18"/>
              </w:rPr>
              <w:t>Comorbidities</w:t>
            </w:r>
          </w:p>
        </w:tc>
        <w:tc>
          <w:tcPr>
            <w:tcW w:type="dxa" w:w="3118"/>
          </w:tcPr>
          <w:p>
            <w:pPr>
              <w:jc w:val="center"/>
            </w:pPr>
            <w:r>
              <w:rPr>
                <w:rFonts w:ascii="Arial" w:hAnsi="Arial"/>
                <w:sz w:val="18"/>
              </w:rPr>
              <w:t>Co-existing medical conditions</w:t>
            </w:r>
          </w:p>
        </w:tc>
      </w:tr>
      <w:tr>
        <w:tc>
          <w:tcPr>
            <w:tcW w:type="dxa" w:w="2551"/>
            <w:shd w:fill="F0F4FF"/>
          </w:tcPr>
          <w:p>
            <w:pPr>
              <w:jc w:val="center"/>
            </w:pPr>
            <w:r>
              <w:rPr>
                <w:rFonts w:ascii="Arial" w:hAnsi="Arial"/>
                <w:sz w:val="18"/>
              </w:rPr>
              <w:t>Bildgebung</w:t>
            </w:r>
          </w:p>
        </w:tc>
        <w:tc>
          <w:tcPr>
            <w:tcW w:type="dxa" w:w="2268"/>
            <w:shd w:fill="F0F4FF"/>
          </w:tcPr>
          <w:p>
            <w:pPr>
              <w:jc w:val="center"/>
            </w:pPr>
            <w:r>
              <w:rPr>
                <w:rFonts w:ascii="Arial" w:hAnsi="Arial"/>
                <w:sz w:val="18"/>
              </w:rPr>
              <w:t>Imaging</w:t>
            </w:r>
          </w:p>
        </w:tc>
        <w:tc>
          <w:tcPr>
            <w:tcW w:type="dxa" w:w="3118"/>
            <w:shd w:fill="F0F4FF"/>
          </w:tcPr>
          <w:p>
            <w:pPr>
              <w:jc w:val="center"/>
            </w:pPr>
            <w:r>
              <w:rPr>
                <w:rFonts w:ascii="Arial" w:hAnsi="Arial"/>
                <w:sz w:val="18"/>
              </w:rPr>
              <w:t>Radiological examinations (CT, MRI, etc.)</w:t>
            </w:r>
          </w:p>
        </w:tc>
      </w:tr>
      <w:tr>
        <w:tc>
          <w:tcPr>
            <w:tcW w:type="dxa" w:w="2551"/>
          </w:tcPr>
          <w:p>
            <w:pPr>
              <w:jc w:val="center"/>
            </w:pPr>
            <w:r>
              <w:rPr>
                <w:rFonts w:ascii="Arial" w:hAnsi="Arial"/>
                <w:sz w:val="18"/>
              </w:rPr>
              <w:t>Histologie-Subtyp</w:t>
            </w:r>
          </w:p>
        </w:tc>
        <w:tc>
          <w:tcPr>
            <w:tcW w:type="dxa" w:w="2268"/>
          </w:tcPr>
          <w:p>
            <w:pPr>
              <w:jc w:val="center"/>
            </w:pPr>
            <w:r>
              <w:rPr>
                <w:rFonts w:ascii="Arial" w:hAnsi="Arial"/>
                <w:sz w:val="18"/>
              </w:rPr>
              <w:t>Histology Subtype</w:t>
            </w:r>
          </w:p>
        </w:tc>
        <w:tc>
          <w:tcPr>
            <w:tcW w:type="dxa" w:w="3118"/>
          </w:tcPr>
          <w:p>
            <w:pPr>
              <w:jc w:val="center"/>
            </w:pPr>
            <w:r>
              <w:rPr>
                <w:rFonts w:ascii="Arial" w:hAnsi="Arial"/>
                <w:sz w:val="18"/>
              </w:rPr>
              <w:t>Microscopic tissue classification</w:t>
            </w:r>
          </w:p>
        </w:tc>
      </w:tr>
      <w:tr>
        <w:tc>
          <w:tcPr>
            <w:tcW w:type="dxa" w:w="2551"/>
            <w:shd w:fill="F0F4FF"/>
          </w:tcPr>
          <w:p>
            <w:pPr>
              <w:jc w:val="center"/>
            </w:pPr>
            <w:r>
              <w:rPr>
                <w:rFonts w:ascii="Arial" w:hAnsi="Arial"/>
                <w:sz w:val="18"/>
              </w:rPr>
              <w:t>Leitlinienkonform</w:t>
            </w:r>
          </w:p>
        </w:tc>
        <w:tc>
          <w:tcPr>
            <w:tcW w:type="dxa" w:w="2268"/>
            <w:shd w:fill="F0F4FF"/>
          </w:tcPr>
          <w:p>
            <w:pPr>
              <w:jc w:val="center"/>
            </w:pPr>
            <w:r>
              <w:rPr>
                <w:rFonts w:ascii="Arial" w:hAnsi="Arial"/>
                <w:sz w:val="18"/>
              </w:rPr>
              <w:t>Guideline-Concordant</w:t>
            </w:r>
          </w:p>
        </w:tc>
        <w:tc>
          <w:tcPr>
            <w:tcW w:type="dxa" w:w="3118"/>
            <w:shd w:fill="F0F4FF"/>
          </w:tcPr>
          <w:p>
            <w:pPr>
              <w:jc w:val="center"/>
            </w:pPr>
            <w:r>
              <w:rPr>
                <w:rFonts w:ascii="Arial" w:hAnsi="Arial"/>
                <w:sz w:val="18"/>
              </w:rPr>
              <w:t>Consistent with clinical practice guidelines</w:t>
            </w:r>
          </w:p>
        </w:tc>
      </w:tr>
    </w:tbl>
    <w:p>
      <w:r>
        <w:br w:type="page"/>
      </w:r>
    </w:p>
    <w:p>
      <w:pPr>
        <w:pStyle w:val="Heading1"/>
      </w:pPr>
      <w:r>
        <w:t>20. Conclusions &amp; Recommendations</w:t>
      </w:r>
    </w:p>
    <w:p>
      <w:pPr>
        <w:pStyle w:val="Heading2"/>
      </w:pPr>
      <w:r>
        <w:t>Key Findings</w:t>
      </w:r>
    </w:p>
    <w:p>
      <w:pPr>
        <w:pStyle w:val="ListBullet"/>
      </w:pPr>
      <w:r>
        <w:rPr>
          <w:rFonts w:ascii="Arial" w:hAnsi="Arial"/>
          <w:sz w:val="20"/>
        </w:rPr>
        <w:t>Model Performance: MedGemma 27B achieved the highest uro-oncologist-rated quality (6.1/9) with 75.4% therapy acceptability. MedGemma 27B scored highest on automated judge evaluation (0.76/1.0).</w:t>
      </w:r>
    </w:p>
    <w:p>
      <w:pPr>
        <w:pStyle w:val="ListBullet"/>
      </w:pPr>
      <w:r>
        <w:rPr>
          <w:rFonts w:ascii="Arial" w:hAnsi="Arial"/>
          <w:sz w:val="20"/>
        </w:rPr>
        <w:t>Best AI Judge: MedGemma 27B showed the strongest agreement with the uro-oncologist (κ = 0.675). Both judges show moderate agreement, indicating they are useful but not perfect proxies for expert clinical judgment.</w:t>
      </w:r>
    </w:p>
    <w:p>
      <w:pPr>
        <w:pStyle w:val="ListBullet"/>
      </w:pPr>
      <w:r>
        <w:rPr>
          <w:rFonts w:ascii="Arial" w:hAnsi="Arial"/>
          <w:sz w:val="20"/>
        </w:rPr>
        <w:t>Therapy Categories: IO+TKI and TKI Mono dominate model predictions, consistent with current RCC treatment guidelines for the 36/69 metastatic cases in the cohort.</w:t>
      </w:r>
    </w:p>
    <w:p>
      <w:pPr>
        <w:pStyle w:val="ListBullet"/>
      </w:pPr>
      <w:r>
        <w:rPr>
          <w:rFonts w:ascii="Arial" w:hAnsi="Arial"/>
          <w:sz w:val="20"/>
        </w:rPr>
        <w:t>Clinical Safety: GPT-5.2 has the lowest dangerous error rate (8.2%). Both judges tend to be overly strict (high false negative rates), which is safer than being too permissive in a clinical context.</w:t>
      </w:r>
    </w:p>
    <w:p>
      <w:pPr>
        <w:pStyle w:val="ListBullet"/>
      </w:pPr>
      <w:r>
        <w:rPr>
          <w:rFonts w:ascii="Arial" w:hAnsi="Arial"/>
          <w:sz w:val="20"/>
        </w:rPr>
        <w:t>Self-Judging Bias: MedGemma shows statistically significant self-judging bias. When MedGemma serves as both predictor and judge, its self-evaluations should be interpreted with caution.</w:t>
      </w:r>
    </w:p>
    <w:p>
      <w:pPr>
        <w:pStyle w:val="Heading2"/>
      </w:pPr>
      <w:r>
        <w:t>Recommendations</w:t>
      </w:r>
    </w:p>
    <w:p>
      <w:pPr>
        <w:pStyle w:val="ListBullet"/>
      </w:pPr>
      <w:r>
        <w:rPr>
          <w:rFonts w:ascii="Arial" w:hAnsi="Arial"/>
          <w:sz w:val="20"/>
        </w:rPr>
        <w:t>AI judges should be used as screening tools, not final arbiters. Uro-oncologist review remains essential for clinical safety.</w:t>
      </w:r>
    </w:p>
    <w:p>
      <w:pPr>
        <w:pStyle w:val="ListBullet"/>
      </w:pPr>
      <w:r>
        <w:rPr>
          <w:rFonts w:ascii="Arial" w:hAnsi="Arial"/>
          <w:sz w:val="20"/>
        </w:rPr>
        <w:t>Using both GPT-5.2 and MedGemma as judges and flagging disagreements could improve evaluation reliability — their complementary strengths (GPT-5.2 higher specificity, MedGemma higher sensitivity) create a more robust assessment.</w:t>
      </w:r>
    </w:p>
    <w:p>
      <w:pPr>
        <w:pStyle w:val="ListBullet"/>
      </w:pPr>
      <w:r>
        <w:rPr>
          <w:rFonts w:ascii="Arial" w:hAnsi="Arial"/>
          <w:sz w:val="20"/>
        </w:rPr>
        <w:t>Models with high acceptability rates but lower exact match scores may still provide clinically valid alternative recommendations worthy of tumor board discussion.</w:t>
      </w:r>
    </w:p>
    <w:p>
      <w:pPr>
        <w:pStyle w:val="ListBullet"/>
      </w:pPr>
      <w:r>
        <w:rPr>
          <w:rFonts w:ascii="Arial" w:hAnsi="Arial"/>
          <w:sz w:val="20"/>
        </w:rPr>
        <w:t>The strong Spearman correlations (ρ &gt; 0.64) between judge scores and uro-oncologist ratings suggest automated judge scores are useful proxies for prediction quality, enabling scalable evaluation.</w:t>
      </w:r>
    </w:p>
    <w:p>
      <w:pPr>
        <w:pStyle w:val="ListBullet"/>
      </w:pPr>
      <w:r>
        <w:rPr>
          <w:rFonts w:ascii="Arial" w:hAnsi="Arial"/>
          <w:sz w:val="20"/>
        </w:rPr>
        <w:t>Future work should expand the dataset to include additional cancer types, test with multiple physician reviewers for inter-rater reliability, and evaluate medical-specialized models like Med-PaLM and BioMistral.</w:t>
      </w:r>
    </w:p>
    <w:p>
      <w:pPr>
        <w:pStyle w:val="Heading2"/>
      </w:pPr>
      <w:r>
        <w:t>Limitations</w:t>
      </w:r>
    </w:p>
    <w:p>
      <w:r>
        <w:t>This study relies on a single physician reviewer, which may introduce individual assessment bias. The case dataset is limited to RCC from a single institution's tumor boards. The uro-oncologist reviewed all 69 cases for both model evaluation and judge evaluation, providing complete coverage. Ground truth represents the tumor board consensus, which is one valid approach but not necessarily the only correct therapy. All cases use German medical terminology, which may affect model performance compared to English-language clinical data.</w:t>
      </w:r>
    </w:p>
    <w:p>
      <w:pPr>
        <w:pStyle w:val="Heading2"/>
      </w:pPr>
      <w:r>
        <w:t>Open Questions</w:t>
      </w:r>
    </w:p>
    <w:p>
      <w:r>
        <w:t>Several methodological questions remain open and may affect interpretation of the results:</w:t>
      </w:r>
    </w:p>
    <w:p>
      <w:pPr>
        <w:pStyle w:val="ListBullet"/>
      </w:pPr>
      <w:r>
        <w:rPr>
          <w:rFonts w:ascii="Arial" w:hAnsi="Arial"/>
          <w:sz w:val="20"/>
        </w:rPr>
        <w:t>Ground Truth Definition: Is the ground_truth_therapy field the tumor board consensus recommendation or the actual treatment administered? The distinction matters when tumor board recommends X but the patient receives Y.</w:t>
      </w:r>
    </w:p>
    <w:p>
      <w:pPr>
        <w:pStyle w:val="ListBullet"/>
      </w:pPr>
      <w:r>
        <w:rPr>
          <w:rFonts w:ascii="Arial" w:hAnsi="Arial"/>
          <w:sz w:val="20"/>
        </w:rPr>
        <w:t>IMDC for Non-Clear-Cell RCC: IMDC risk stratification is only validated for clear-cell mRCC. Models sometimes calculate IMDC for papillary/chromophobe subtypes with a disclaimer. The preferred approach (skip vs. calculate with caveat) has not been standardized.</w:t>
      </w:r>
    </w:p>
    <w:p>
      <w:pPr>
        <w:pStyle w:val="ListBullet"/>
      </w:pPr>
      <w:r>
        <w:rPr>
          <w:rFonts w:ascii="Arial" w:hAnsi="Arial"/>
          <w:sz w:val="20"/>
        </w:rPr>
        <w:t>ICI Eligibility: Many cases have null ICI eligibility. The criteria for determining whether an ICI combination is feasible (autoimmune disease, prior transplant, active infection) are not explicitly coded in the data.</w:t>
      </w:r>
    </w:p>
    <w:p>
      <w:pPr>
        <w:pStyle w:val="ListBullet"/>
      </w:pPr>
      <w:r>
        <w:rPr>
          <w:rFonts w:ascii="Arial" w:hAnsi="Arial"/>
          <w:sz w:val="20"/>
        </w:rPr>
        <w:t>Therapy Guidelines Completeness: The embedded prompt guidelines cover first/second-line therapies but may not include adjuvant pembrolizumab, non-clear-cell-specific protocols, third-line options, oligometastatic management, or cytoreductive nephrectomy criteria.</w:t>
      </w:r>
    </w:p>
    <w:p>
      <w:pPr>
        <w:pStyle w:val="ListBullet"/>
      </w:pPr>
      <w:r>
        <w:rPr>
          <w:rFonts w:ascii="Arial" w:hAnsi="Arial"/>
          <w:sz w:val="20"/>
        </w:rPr>
        <w:t>Four JSON Schema Variants: The dataset uses four different JSON structures across 69 cases. While the pipeline handles all variants, edge cases in field mapping may introduce subtle data quality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