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23.12.2025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report: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managed to create a standard JSON structure for our cases (case_structure_json_v_1_1).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also created the JSON therapy structure based on the guidelines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therapy_structure_ncc_metatastic_json_flow_chart_12_2025_S3_ln; therapy_structure_ncc_non_metastatic_json_12_2025_S3_ln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with the information the LLM needs in his  decision of the therapy for cases with kidney cancer (Nierenkarzinom).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 created per class, based on the standard JSON structure,  2 cases, and for the kidney cancer 14 cases.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Moreover, I gathered 30 cases per category (they are not yet in JSON format).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added also a list with models that I would be open to test (feel free to recommend something else).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do for the next meeting: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per clas at least 10 extra cases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results regarding the detection between classes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384AB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384AB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384AB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384AB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384AB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384AB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384AB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384ABB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384ABB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384ABB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384ABB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384ABB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384AB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384AB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384AB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384ABB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384ABB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384ABB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384AB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384ABB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384AB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qFQoirCVURCZomXlSwIiYL9cQ==">CgMxLjA4AHIhMUJGd2VaNVVvRHJCdy1obVRqX3ROVW5zelZfTzZOSUFr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2025-12-23T11:44:00Z</dcterms:created>
  <dc:creator>Alexa, Radu</dc:creator>
</cp:coreProperties>
</file>