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CSE541 -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u w:val="single"/>
          <w:rtl w:val="0"/>
        </w:rPr>
        <w:t xml:space="preserve">Improvising Object Tracking Algorithm SORT for Long-Term Trajectory Extraction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Ayush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Kunj Kanzaria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Rutul Patel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Saumil Patel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color w:val="1f1f1f"/>
          <w:sz w:val="24"/>
          <w:szCs w:val="24"/>
        </w:rPr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This week, we focused on the paper "Detection and Tracking Meet Drones Challenge" by Zhu et al. (2021), which introduces a benchmark dataset for evaluating object detection and tracking algorithms specifically for drone-captured videos. Here are the key points we learned about the dataset:</w:t>
      </w:r>
    </w:p>
    <w:p w:rsidR="00000000" w:rsidDel="00000000" w:rsidP="00000000" w:rsidRDefault="00000000" w:rsidRPr="00000000" w14:paraId="0000001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Motivation: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 widespread use of drones with cameras has created a demand for automatic analysis of aerial video data, particularly in fields like agriculture, surveillance, and aerial photography.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This dataset aims to address the need for a standardized benchmark to evaluate and compare object detection and tracking algorithms for drone applications.</w:t>
      </w:r>
    </w:p>
    <w:p w:rsidR="00000000" w:rsidDel="00000000" w:rsidP="00000000" w:rsidRDefault="00000000" w:rsidRPr="00000000" w14:paraId="00000017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Challenge Workshops: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 authors organized three challenge workshops (2018, 2019, and 2020) in conjunction with major computer vision conferences, attracting over 100 teams worldwide.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These workshops likely helped refine the dataset and establish its value in the research community.</w:t>
      </w:r>
    </w:p>
    <w:p w:rsidR="00000000" w:rsidDel="00000000" w:rsidP="00000000" w:rsidRDefault="00000000" w:rsidRPr="00000000" w14:paraId="0000001A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Dataset Details: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The paper mentions the availability of the dataset and experimental results, though it doesn't explicitly specify the content or format.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We need to further investigate by searching online resources such as the project website or Github repository mentioned in other sources (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b57d0"/>
            <w:sz w:val="24"/>
            <w:szCs w:val="24"/>
            <w:u w:val="single"/>
            <w:rtl w:val="0"/>
          </w:rPr>
          <w:t xml:space="preserve">https://github.com/VisDrone/Awesome-VisDrone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), which might hold the actual dataset and detailed information about its content, format, and evaluation metrics.</w:t>
      </w:r>
    </w:p>
    <w:p w:rsidR="00000000" w:rsidDel="00000000" w:rsidP="00000000" w:rsidRDefault="00000000" w:rsidRPr="00000000" w14:paraId="0000001D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Helvetica Neue" w:cs="Helvetica Neue" w:eastAsia="Helvetica Neue" w:hAnsi="Helvetica Neue"/>
          <w:b w:val="1"/>
          <w:color w:val="1f1f1f"/>
          <w:sz w:val="24"/>
          <w:szCs w:val="24"/>
        </w:rPr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1f1f1f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Download and explore the VisDrone dataset (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b57d0"/>
            <w:sz w:val="24"/>
            <w:szCs w:val="24"/>
            <w:u w:val="single"/>
            <w:rtl w:val="0"/>
          </w:rPr>
          <w:t xml:space="preserve">https://github.com/VisDrone/Awesome-VisDrone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Analyze the dataset's content, including object categories, video lengths, and annotation formats.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bookmarkStart w:colFirst="0" w:colLast="0" w:name="_2stuxdi8tc6a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Investigate the evaluation metrics used in the challenge workshops to understand how performance is measured.</w:t>
      </w:r>
    </w:p>
    <w:p w:rsidR="00000000" w:rsidDel="00000000" w:rsidP="00000000" w:rsidRDefault="00000000" w:rsidRPr="00000000" w14:paraId="0000002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x6xygnymvdj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By completing these steps, we will gain a comprehensive understanding of the Detection and Tracking Meet Drones Challenge dataset and its potential use in our research or development of object detection and tracking algorithms for drone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stuxdi8tc6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240" w:line="276" w:lineRule="auto"/>
        <w:ind w:left="720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Zhu, P., Wen, L., Du, D., Bian, X., Fan, H., Hu, Q., &amp; Ling, H. (2021). Detection and Tracking Meet Drones Challenge. IEEE Transactions on Pattern Analysis and Machine Intelligence, 1-1. doi:10.1109/TPAMI.2021.3119563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0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VisDrone/Awesome-VisDrone" TargetMode="External"/><Relationship Id="rId8" Type="http://schemas.openxmlformats.org/officeDocument/2006/relationships/hyperlink" Target="https://github.com/VisDrone/Awesome-VisDr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