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CSE541 - Computer Vision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u w:val="single"/>
          <w:rtl w:val="0"/>
        </w:rPr>
        <w:t xml:space="preserve">Improvising Object Tracking Algorithm SORT for Long-Term Trajectory Extraction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vti8ctwn6nsw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Combining Insights from Two Base Papers: Aerial Multi-Object Tracking with Deep Association Networks</w:t>
      </w:r>
    </w:p>
    <w:p w:rsidR="00000000" w:rsidDel="00000000" w:rsidP="00000000" w:rsidRDefault="00000000" w:rsidRPr="00000000" w14:paraId="0000001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Based on the two papers provided, we have come with a potential approach to solving aerial multi-object tracking:</w:t>
      </w:r>
    </w:p>
    <w:p w:rsidR="00000000" w:rsidDel="00000000" w:rsidP="00000000" w:rsidRDefault="00000000" w:rsidRPr="00000000" w14:paraId="0000001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1. Object Detection: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Inspired by Jadhav et al. (2020), we will leverage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Deep Neural Network (DNN)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for object detection. This network can handle challenges like scale variations, occlusions, and dense object distributions commonly faced in aerial imagery.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We will explore modifying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anchor scales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in the base detection model (like RetinaNet) to better detect small and densely packed objects, as suggested by Jadhav et al. (2020).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We can consider incorporating additional techniques like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Squeeze-and-Excitation (SE) blocks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, as in the mentioned paper, to improve detection accuracy at the expense of slightly increased computational cost.</w:t>
      </w:r>
    </w:p>
    <w:p w:rsidR="00000000" w:rsidDel="00000000" w:rsidP="00000000" w:rsidRDefault="00000000" w:rsidRPr="00000000" w14:paraId="0000001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2. Data and Training: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Similar to Jadhav et al. (2020), we will utilize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VisDrone dataset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for training and evaluating our approach. This dataset offers diverse aerial video sequences with annotations for object detection and tracking.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We need to access and explore the details of the VisDrone dataset, including object categories, video lengths, and annotation formats, as mentioned in the previous report.</w:t>
      </w:r>
    </w:p>
    <w:p w:rsidR="00000000" w:rsidDel="00000000" w:rsidP="00000000" w:rsidRDefault="00000000" w:rsidRPr="00000000" w14:paraId="0000001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eqw7sj6rq5l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vkprjsrzsac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3. Tracking and Association: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We will adopt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DeepSORT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framework proposed by Jadhav et al. (2020) for associating detected objects across frames and maintaining their individual tracks. DeepSORT utilizes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Kalman filter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to predict object locations and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Hungarian algorithm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for efficient data association.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We can further investigate incorporating advanced tracking techniques like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appearance modeling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motion pattern analysis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to improve track continuity in challenging scenarios.</w:t>
      </w:r>
    </w:p>
    <w:p w:rsidR="00000000" w:rsidDel="00000000" w:rsidP="00000000" w:rsidRDefault="00000000" w:rsidRPr="00000000" w14:paraId="0000002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4. Evaluation: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To assess the performance of our approach, we will adopt the evaluation metrics used in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VisDrone challenges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, as mentioned by Jadhav et al. (2020). These metrics likely include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Multiple Object Tracking Accuracy (MOTA)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Multiple Object Tracking Precision (MOTP)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, which measure the overall tracking performance and the accuracy of individual tracks, respectively.</w:t>
      </w:r>
    </w:p>
    <w:p w:rsidR="00000000" w:rsidDel="00000000" w:rsidP="00000000" w:rsidRDefault="00000000" w:rsidRPr="00000000" w14:paraId="0000002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5. Inspiration from Alonazi et al. (2023):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While Alonazi et al. (2023) focus on ground-based traffic control, their use of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pixel-labeling approach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for object detection could be explored as an alternative or complementary technique to Deep Learning-based detection methods. This might be particularly relevant for scenarios where computational resources are limited.</w:t>
      </w:r>
    </w:p>
    <w:p w:rsidR="00000000" w:rsidDel="00000000" w:rsidP="00000000" w:rsidRDefault="00000000" w:rsidRPr="00000000" w14:paraId="0000002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wy876lumii4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x6xygnymvd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stuxdi8tc6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Jadhav, Ajit &amp; Mukherjee, Prerana &amp; Kaushik, Vinay &amp; Lall, Brejesh. (2020). Aerial Multi-Object Tracking by Detection Using Deep Association Networks. 1-6. 10.1109/NCC48643.2020.9056035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[8] M. Alonazi et al., "A Smart Traffic Control System Based on Pixel-Labeling and SORT Tracker," in IEEE Access, vol. 11, pp. 80973-80985, 2023, doi: 10.1109/ACCESS.2023.3299488</w:t>
      </w:r>
    </w:p>
    <w:p w:rsidR="00000000" w:rsidDel="00000000" w:rsidP="00000000" w:rsidRDefault="00000000" w:rsidRPr="00000000" w14:paraId="0000002B">
      <w:pPr>
        <w:widowControl w:val="0"/>
        <w:spacing w:after="240" w:before="240" w:line="276" w:lineRule="auto"/>
        <w:ind w:left="72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0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