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160" w:line="36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30"/>
          <w:szCs w:val="30"/>
        </w:rPr>
        <w:drawing xmlns:a="http://schemas.openxmlformats.org/drawingml/2006/main">
          <wp:inline distT="0" distB="0" distL="0" distR="0">
            <wp:extent cx="1999710" cy="1965961"/>
            <wp:effectExtent l="0" t="0" r="0" b="0"/>
            <wp:docPr id="1073741825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image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710" cy="19659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160" w:line="360" w:lineRule="auto"/>
        <w:jc w:val="center"/>
        <w:rPr>
          <w:rFonts w:ascii="Times New Roman" w:cs="Times New Roman" w:hAnsi="Times New Roman" w:eastAsia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rtl w:val="0"/>
          <w:lang w:val="en-US"/>
        </w:rPr>
        <w:t>CSE541 - Computer Vision</w:t>
      </w:r>
    </w:p>
    <w:p>
      <w:pPr>
        <w:pStyle w:val="Normal.0"/>
        <w:spacing w:after="160" w:line="360" w:lineRule="auto"/>
        <w:jc w:val="center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outline w:val="0"/>
          <w:color w:val="85160f"/>
          <w:sz w:val="38"/>
          <w:szCs w:val="38"/>
          <w:u w:color="85160f"/>
          <w:rtl w:val="0"/>
          <w:lang w:val="en-US"/>
          <w14:textFill>
            <w14:solidFill>
              <w14:srgbClr w14:val="85160F"/>
            </w14:solidFill>
          </w14:textFill>
        </w:rPr>
        <w:t xml:space="preserve">Weekly Report </w:t>
      </w:r>
      <w:r>
        <w:rPr>
          <w:rFonts w:ascii="Times New Roman" w:hAnsi="Times New Roman"/>
          <w:outline w:val="0"/>
          <w:color w:val="85160f"/>
          <w:sz w:val="38"/>
          <w:szCs w:val="38"/>
          <w:u w:color="85160f"/>
          <w:rtl w:val="0"/>
          <w:lang w:val="en-US"/>
          <w14:textFill>
            <w14:solidFill>
              <w14:srgbClr w14:val="85160F"/>
            </w14:solidFill>
          </w14:textFill>
        </w:rPr>
        <w:t>8</w:t>
      </w:r>
    </w:p>
    <w:p>
      <w:pPr>
        <w:pStyle w:val="Normal.0"/>
        <w:widowControl w:val="0"/>
        <w:spacing w:line="216" w:lineRule="auto"/>
        <w:jc w:val="center"/>
        <w:rPr>
          <w:rFonts w:ascii="Helvetica Neue" w:cs="Helvetica Neue" w:hAnsi="Helvetica Neue" w:eastAsia="Helvetica Neue"/>
          <w:b w:val="1"/>
          <w:bCs w:val="1"/>
          <w:sz w:val="40"/>
          <w:szCs w:val="40"/>
          <w:u w:val="single"/>
        </w:rPr>
      </w:pPr>
      <w:r>
        <w:rPr>
          <w:rFonts w:ascii="Helvetica Neue" w:hAnsi="Helvetica Neue"/>
          <w:b w:val="1"/>
          <w:bCs w:val="1"/>
          <w:sz w:val="40"/>
          <w:szCs w:val="40"/>
          <w:u w:val="single"/>
          <w:rtl w:val="0"/>
          <w:lang w:val="en-US"/>
        </w:rPr>
        <w:t>Improvising Object Tracking Algorithm SORT for Long-Term Trajectory Extraction</w:t>
      </w:r>
    </w:p>
    <w:p>
      <w:pPr>
        <w:pStyle w:val="Normal.0"/>
        <w:spacing w:after="160" w:line="360" w:lineRule="auto"/>
        <w:jc w:val="center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 </w:t>
      </w:r>
    </w:p>
    <w:p>
      <w:pPr>
        <w:pStyle w:val="Normal.0"/>
        <w:spacing w:after="160" w:line="360" w:lineRule="auto"/>
        <w:jc w:val="center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Mentor: </w:t>
      </w:r>
      <w:r>
        <w:rPr>
          <w:rFonts w:ascii="Times New Roman" w:hAnsi="Times New Roman"/>
          <w:sz w:val="30"/>
          <w:szCs w:val="30"/>
          <w:u w:val="single"/>
          <w:rtl w:val="0"/>
          <w:lang w:val="en-US"/>
        </w:rPr>
        <w:t>Mehul Raval</w:t>
      </w:r>
    </w:p>
    <w:tbl>
      <w:tblPr>
        <w:tblW w:w="991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020"/>
        <w:gridCol w:w="5895"/>
      </w:tblGrid>
      <w:tr>
        <w:tblPrEx>
          <w:shd w:val="clear" w:color="auto" w:fill="d0ddef"/>
        </w:tblPrEx>
        <w:trPr>
          <w:trHeight w:val="815" w:hRule="atLeast"/>
        </w:trPr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Roll No.</w:t>
            </w:r>
          </w:p>
        </w:tc>
        <w:tc>
          <w:tcPr>
            <w:tcW w:type="dxa" w:w="58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Name</w:t>
            </w:r>
          </w:p>
        </w:tc>
      </w:tr>
      <w:tr>
        <w:tblPrEx>
          <w:shd w:val="clear" w:color="auto" w:fill="d0ddef"/>
        </w:tblPrEx>
        <w:trPr>
          <w:trHeight w:val="795" w:hRule="atLeast"/>
        </w:trPr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AU2140052</w:t>
            </w:r>
          </w:p>
        </w:tc>
        <w:tc>
          <w:tcPr>
            <w:tcW w:type="dxa" w:w="58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Ayush Patel</w:t>
            </w:r>
          </w:p>
        </w:tc>
      </w:tr>
      <w:tr>
        <w:tblPrEx>
          <w:shd w:val="clear" w:color="auto" w:fill="d0ddef"/>
        </w:tblPrEx>
        <w:trPr>
          <w:trHeight w:val="795" w:hRule="atLeast"/>
        </w:trPr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AU214202</w:t>
            </w:r>
          </w:p>
        </w:tc>
        <w:tc>
          <w:tcPr>
            <w:tcW w:type="dxa" w:w="58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Kunj Kanzariya</w:t>
            </w:r>
          </w:p>
        </w:tc>
      </w:tr>
      <w:tr>
        <w:tblPrEx>
          <w:shd w:val="clear" w:color="auto" w:fill="d0ddef"/>
        </w:tblPrEx>
        <w:trPr>
          <w:trHeight w:val="795" w:hRule="atLeast"/>
        </w:trPr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AU2140206</w:t>
            </w:r>
          </w:p>
        </w:tc>
        <w:tc>
          <w:tcPr>
            <w:tcW w:type="dxa" w:w="58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Rutul Patel</w:t>
            </w:r>
          </w:p>
        </w:tc>
      </w:tr>
      <w:tr>
        <w:tblPrEx>
          <w:shd w:val="clear" w:color="auto" w:fill="d0ddef"/>
        </w:tblPrEx>
        <w:trPr>
          <w:trHeight w:val="795" w:hRule="atLeast"/>
        </w:trPr>
        <w:tc>
          <w:tcPr>
            <w:tcW w:type="dxa" w:w="40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AU2140026</w:t>
            </w:r>
          </w:p>
        </w:tc>
        <w:tc>
          <w:tcPr>
            <w:tcW w:type="dxa" w:w="589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/>
                <w:sz w:val="30"/>
                <w:szCs w:val="30"/>
                <w:shd w:val="nil" w:color="auto" w:fill="auto"/>
                <w:rtl w:val="0"/>
                <w:lang w:val="en-US"/>
              </w:rPr>
              <w:t>Saumil Patel</w:t>
            </w:r>
          </w:p>
        </w:tc>
      </w:tr>
    </w:tbl>
    <w:p>
      <w:pPr>
        <w:pStyle w:val="Normal.0"/>
        <w:widowControl w:val="0"/>
        <w:spacing w:after="160" w:line="240" w:lineRule="auto"/>
        <w:jc w:val="center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Normal.0"/>
        <w:spacing w:after="160" w:line="360" w:lineRule="auto"/>
        <w:jc w:val="center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 </w:t>
      </w:r>
    </w:p>
    <w:p>
      <w:pPr>
        <w:pStyle w:val="Normal.0"/>
        <w:spacing w:after="160" w:line="36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2023-2024 (Winter Semester)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Conducted an extensive review of literature on ResNet18 architecture and its applicability in feature extraction for object tracking algorithms.</w:t>
      </w:r>
      <w:r>
        <w:rPr>
          <w:rtl w:val="0"/>
        </w:rPr>
        <w:t xml:space="preserve"> </w:t>
      </w:r>
      <w:r>
        <w:rPr>
          <w:rtl w:val="0"/>
        </w:rPr>
        <w:t>Analyzed existing research studies and benchmarks to understand the performance of ResNet18 in similar applications.</w:t>
      </w:r>
      <w:r>
        <w:rPr>
          <w:rtl w:val="0"/>
        </w:rPr>
        <w:t xml:space="preserve"> </w:t>
      </w:r>
      <w:r>
        <w:rPr>
          <w:rtl w:val="0"/>
        </w:rPr>
        <w:t>Implemented ResNet18 architecture for feature extraction within the SORT algorithm framework.</w:t>
      </w:r>
      <w:r>
        <w:rPr>
          <w:rtl w:val="0"/>
        </w:rPr>
        <w:t xml:space="preserve"> </w:t>
      </w:r>
      <w:r>
        <w:rPr>
          <w:rtl w:val="0"/>
        </w:rPr>
        <w:t>Adapted the feature extraction module to integrate seamlessly with the existing SORT algorithm pipeline.</w:t>
      </w:r>
      <w:r>
        <w:rPr>
          <w:rtl w:val="0"/>
        </w:rPr>
        <w:t xml:space="preserve"> </w:t>
      </w:r>
      <w:r>
        <w:rPr>
          <w:rtl w:val="0"/>
        </w:rPr>
        <w:t>Conducted thorough testing to ensure functionality and compatibility of the enhanced algorithm.</w:t>
      </w:r>
      <w:r>
        <w:rPr>
          <w:rtl w:val="0"/>
        </w:rPr>
        <w:t xml:space="preserve"> </w:t>
      </w:r>
      <w:r>
        <w:rPr>
          <w:rtl w:val="0"/>
        </w:rPr>
        <w:t>Evaluated the performance of the enhanced SORT algorithm with ResNet18 feature extraction on benchmark datasets.</w:t>
      </w:r>
      <w:r>
        <w:rPr>
          <w:rtl w:val="0"/>
        </w:rPr>
        <w:t xml:space="preserve"> </w:t>
      </w:r>
      <w:r>
        <w:rPr>
          <w:rtl w:val="0"/>
        </w:rPr>
        <w:t>Compared the results with baseline SORT algorithm performance and alternative feature extraction methods to assess improvement in long-term trajectory extraction.</w:t>
      </w:r>
      <w:r>
        <w:rPr>
          <w:rtl w:val="0"/>
        </w:rPr>
        <w:t xml:space="preserve"> </w:t>
      </w:r>
      <w:r>
        <w:rPr>
          <w:rtl w:val="0"/>
        </w:rPr>
        <w:t>Analyzed computational efficiency and resource utilization of the enhanced algorithm</w:t>
      </w:r>
      <w:r>
        <w:rPr>
          <w:rtl w:val="0"/>
        </w:rPr>
        <w:t>.</w:t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