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6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30"/>
          <w:szCs w:val="30"/>
        </w:rPr>
        <w:drawing xmlns:a="http://schemas.openxmlformats.org/drawingml/2006/main">
          <wp:inline distT="0" distB="0" distL="0" distR="0">
            <wp:extent cx="2000250" cy="1966492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CSE523 - Machine Learning</w:t>
      </w: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 xml:space="preserve">Weekly Report </w:t>
      </w: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>7</w:t>
      </w: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Helvetica Neue" w:hAnsi="Helvetica Neue"/>
          <w:b w:val="1"/>
          <w:bCs w:val="1"/>
          <w:sz w:val="36"/>
          <w:szCs w:val="36"/>
          <w:u w:val="single"/>
          <w:rtl w:val="0"/>
          <w:lang w:val="en-US"/>
        </w:rPr>
        <w:t>Classification of Drivers based on their Driving Patterns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it-IT"/>
        </w:rPr>
        <w:t xml:space="preserve">Mentor: </w:t>
      </w:r>
      <w:r>
        <w:rPr>
          <w:rFonts w:ascii="Times New Roman" w:hAnsi="Times New Roman"/>
          <w:sz w:val="30"/>
          <w:szCs w:val="30"/>
          <w:u w:val="single"/>
          <w:rtl w:val="0"/>
          <w:lang w:val="de-DE"/>
        </w:rPr>
        <w:t>Mehul Raval</w:t>
      </w:r>
    </w:p>
    <w:tbl>
      <w:tblPr>
        <w:tblW w:w="99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20"/>
        <w:gridCol w:w="5895"/>
      </w:tblGrid>
      <w:tr>
        <w:tblPrEx>
          <w:shd w:val="clear" w:color="auto" w:fill="ced7e7"/>
        </w:tblPrEx>
        <w:trPr>
          <w:trHeight w:val="83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Roll No.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AU2140052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Ayush Patel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AU214202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Kunj Kanzaria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AU2140206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Rutul Patel</w:t>
            </w:r>
          </w:p>
        </w:tc>
      </w:tr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AU2140026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Saumil Patel</w:t>
            </w:r>
          </w:p>
        </w:tc>
      </w:tr>
    </w:tbl>
    <w:p>
      <w:pPr>
        <w:pStyle w:val="Body A"/>
        <w:widowControl w:val="0"/>
        <w:spacing w:after="160" w:line="240" w:lineRule="auto"/>
        <w:ind w:left="108" w:hanging="108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 A"/>
        <w:widowControl w:val="0"/>
        <w:spacing w:after="160" w:line="240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Body A"/>
        <w:spacing w:after="16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2023-2024 (Winter Semester)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Date: </w:t>
      </w:r>
      <w:r>
        <w:rPr>
          <w:b w:val="1"/>
          <w:bCs w:val="1"/>
          <w:sz w:val="28"/>
          <w:szCs w:val="28"/>
          <w:rtl w:val="0"/>
          <w:lang w:val="en-US"/>
        </w:rPr>
        <w:t>23/03/2024</w:t>
      </w: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Researched and documented the advantages of Kernel K-Means</w:t>
      </w:r>
      <w:r>
        <w:rPr>
          <w:sz w:val="28"/>
          <w:szCs w:val="28"/>
          <w:rtl w:val="0"/>
          <w:lang w:val="en-US"/>
        </w:rPr>
        <w:t xml:space="preserve">            </w:t>
      </w:r>
      <w:r>
        <w:rPr>
          <w:sz w:val="28"/>
          <w:szCs w:val="28"/>
          <w:rtl w:val="0"/>
        </w:rPr>
        <w:t>clustering.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Identified key benefits, including its ability to handle non-linearity in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data and to identify features that are not linearly separable in the original feature space.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Researched common kernel functions used in Kernel K-Means clustering, such as Gaussian (RBF), polynomial, and sigmoid kernels.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Investigated optimization techniques for cluster centers in kernel space, including gradient descent and Expectation-Optimization algorithms.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Experimented with different kernel functions to understand their impact on clustering results.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Challenges Encountered:</w:t>
      </w: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Understanding the mathematical intricacies behind kernel functions and their application in Kernel K-Means.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Implementing optimization techniques for cluster center optimization in kernel space effectively.</w:t>
      </w:r>
    </w:p>
    <w:p>
      <w:pPr>
        <w:pStyle w:val="Body A"/>
        <w:widowControl w:val="0"/>
        <w:bidi w:val="0"/>
        <w:spacing w:line="240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Body A"/>
        <w:widowControl w:val="0"/>
        <w:spacing w:before="200" w:line="216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widowControl w:val="0"/>
        <w:spacing w:before="200" w:line="216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8"/>
          <w:szCs w:val="48"/>
          <w:rtl w:val="0"/>
        </w:rPr>
        <w:t xml:space="preserve"> </w:t>
      </w:r>
    </w:p>
    <w:p>
      <w:pPr>
        <w:pStyle w:val="Body A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37" w:hanging="13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