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240" w:line="24.545454545454547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CSE523 - Machine Learning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240" w:line="24.545454545454547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240" w:line="24.545454545454547" w:lineRule="auto"/>
        <w:jc w:val="center"/>
        <w:rPr>
          <w:rFonts w:ascii="Times New Roman" w:cs="Times New Roman" w:eastAsia="Times New Roman" w:hAnsi="Times New Roman"/>
          <w:color w:val="85160f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color w:val="85160f"/>
          <w:sz w:val="38"/>
          <w:szCs w:val="38"/>
          <w:rtl w:val="0"/>
        </w:rPr>
        <w:t xml:space="preserve">Weekly Report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240" w:line="24.545454545454547" w:lineRule="auto"/>
        <w:jc w:val="center"/>
        <w:rPr>
          <w:rFonts w:ascii="Times New Roman" w:cs="Times New Roman" w:eastAsia="Times New Roman" w:hAnsi="Times New Roman"/>
          <w:color w:val="85160f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240" w:line="24.545454545454547" w:lineRule="auto"/>
        <w:jc w:val="center"/>
        <w:rPr>
          <w:rFonts w:ascii="Times New Roman" w:cs="Times New Roman" w:eastAsia="Times New Roman" w:hAnsi="Times New Roman"/>
          <w:color w:val="85160f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240" w:line="24.545454545454547" w:lineRule="auto"/>
        <w:jc w:val="center"/>
        <w:rPr>
          <w:rFonts w:ascii="Times New Roman" w:cs="Times New Roman" w:eastAsia="Times New Roman" w:hAnsi="Times New Roman"/>
          <w:color w:val="85160f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240" w:line="24.545454545454547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u w:val="single"/>
          <w:rtl w:val="0"/>
        </w:rPr>
        <w:t xml:space="preserve">Classification of Drivers based on their Driving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240" w:line="24.545454545454547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240" w:line="24.545454545454547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u w:val="single"/>
          <w:rtl w:val="0"/>
        </w:rPr>
        <w:t xml:space="preserve"> Patterns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240" w:line="24.545454545454547" w:lineRule="auto"/>
        <w:jc w:val="center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Mentor: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Mehul Raval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240" w:line="24.545454545454547" w:lineRule="auto"/>
        <w:jc w:val="center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240" w:line="24.545454545454547" w:lineRule="auto"/>
        <w:jc w:val="center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09.1376701966715"/>
        <w:gridCol w:w="5550.862329803329"/>
        <w:tblGridChange w:id="0">
          <w:tblGrid>
            <w:gridCol w:w="3809.1376701966715"/>
            <w:gridCol w:w="5550.862329803329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40" w:before="240" w:line="18.818181818181817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Roll No.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40" w:before="240" w:line="18.818181818181817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Name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40" w:before="240" w:line="18.818181818181817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AU2140052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40" w:before="240" w:line="18.818181818181817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Ayush Patel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40" w:before="240" w:line="18.818181818181817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AU214202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40" w:before="240" w:line="18.818181818181817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Kunj Kanzaria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40" w:before="240" w:line="18.818181818181817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AU2140206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40" w:before="240" w:line="18.818181818181817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Rutul Patel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40" w:before="240" w:line="18.818181818181817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AU2140026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40" w:before="240" w:line="18.818181818181817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Saumil Patel</w:t>
            </w:r>
          </w:p>
        </w:tc>
      </w:tr>
    </w:tbl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240" w:line="16.363636363636363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240" w:line="24.545454545454547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2023-2024 (Winter Semester)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6.363636363636363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29/03/2024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Objective Overview: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week's focus was on exploring various clustering methods, particularly diving into Kernel K-Means to better understand its advantages and operational methods.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Progress and Achievements: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Kernel K-Means Exploration: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delved into Kernel K-Means, an extension of the traditional K-Means algorithm that operates in a high-dimensional feature space induced by a kernel function.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Advantages Discovered: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Kernel K-Means offers several advantages over standard K-Means: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Handling Non-Linearity: It can effectively handle non-linear relationships within the data, making it suitable for datasets where linear separability assumptions do not hold.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Identification of Non-Linear Features: By leveraging kernel functions like Gaussian (RBF), polynomial, or sigmoid, the algorithm can identify and exploit features that are not linearly separable in the original feature space.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Methods Explored: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investigated the core operational methods of Kernel K-Means: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Kernel Functions: Explored common kernel functions such as Gaussian (RBF), polynomial, and sigmoid, understanding how they transform data into a higher-dimensional space where non-linear relationships can be captured more effectively.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Cluster Center Optimization: Studied how cluster centers are optimized within the kernel space, typically through techniques like gradient descent or Expectation-Maximization (EM) algorithms.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Next Steps: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Experimentation and Implementation: Plan to apply Kernel K-Means to sample datasets to evaluate its performance and compare it with other clustering techniques.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Further Research: Continue researching advanced topics related to Kernel K-Means, such as tuning hyperparameters, scalability considerations, and real-world applications.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Challenges Faced: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Understanding the mathematical intricacies behind kernel functions and their impact on clustering accuracy posed initial challenges, but these were overcome through collaborative learning and dedicated research.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