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0"/>
          <w:szCs w:val="50"/>
          <w:u w:val="single"/>
          <w:rtl w:val="0"/>
        </w:rPr>
        <w:t xml:space="preserve">The Generalization Ability of SVM Classification Based on Markov Sampling</w:t>
      </w: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5"/>
          <w:szCs w:val="25"/>
          <w:rtl w:val="0"/>
        </w:rPr>
        <w:t xml:space="preserve">Ayush Raj(IIT2018188), Harsh Bajaj(IIT2018190), Utkarsh Priyam(IIT2018197)</w:t>
      </w:r>
      <w:r w:rsidDel="00000000" w:rsidR="00000000" w:rsidRPr="00000000">
        <w:rPr>
          <w:rtl w:val="0"/>
        </w:rPr>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i w:val="1"/>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rtl w:val="0"/>
        </w:rPr>
        <w:t xml:space="preserve">Semester VI, Department of IT, Indian Institute of Information Technology, Allahabad, India.</w:t>
      </w:r>
      <w:r w:rsidDel="00000000" w:rsidR="00000000" w:rsidRPr="00000000">
        <w:rPr>
          <w:rtl w:val="0"/>
        </w:rPr>
      </w:r>
    </w:p>
    <w:p w:rsidR="00000000" w:rsidDel="00000000" w:rsidP="00000000" w:rsidRDefault="00000000" w:rsidRPr="00000000" w14:paraId="00000004">
      <w:pPr>
        <w:spacing w:after="1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All the past works in finding the generalization ability of SVM classification algorithm generally assumes that the samples are iid in nature (independent and identically distributed). This paper proposes a new method which focuses on generalization ability of SVMC based on uniformly ergodic Markov chain (u.e.M.c) samples. The results show that the SVMCs based on Markov sampling have better generalization ability (as the number of training samples are larger).</w:t>
      </w:r>
    </w:p>
    <w:p w:rsidR="00000000" w:rsidDel="00000000" w:rsidP="00000000" w:rsidRDefault="00000000" w:rsidRPr="00000000" w14:paraId="00000005">
      <w:pPr>
        <w:spacing w:after="1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numPr>
          <w:ilvl w:val="0"/>
          <w:numId w:val="3"/>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Support Vector Machine (SVM) and high dimensional data are very closely related in classification based problems [1]-[3]. Although SVMCs have better results, they also have a very clear theoretical justification considering the universal consistency as well as the learning rates if the dataset is independent and identically distributed in nature [4]-[6]. But may not always be true. This iid assumption cannot be strictly applied in a real world example.  For example, the speech recognition system and market prediction which are inherently temporal in nature and hence cannot be proved independent  and identically distributed i.e., i.i.d. in nature. Hence, many researches are ongoing in this field with some relaxation on the i.i.d. constraints. Some of them considered the Markov chain samples and inferred the learning rates for online learning algorithms whereas some paper considered the convergence rates of empirical processes for stationary mixing sequences.  α-mixing, β-mixing and φ-mixing were also discussed in some of the papers.</w:t>
      </w:r>
    </w:p>
    <w:p w:rsidR="00000000" w:rsidDel="00000000" w:rsidP="00000000" w:rsidRDefault="00000000" w:rsidRPr="00000000" w14:paraId="00000008">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in [1] have discussed and analysed the case when the input was Markov samples. The main reason for selecting the Markov series is that they are frequently and naturally available such as web-based content, marking predictions, DNA analysis, protein analysis, etc. Thus, inspired from the Markov Chain Monte Carlo (MCMC) method, a sampling algorithm is discussed for sampling the dataset.</w:t>
      </w:r>
    </w:p>
    <w:p w:rsidR="00000000" w:rsidDel="00000000" w:rsidP="00000000" w:rsidRDefault="00000000" w:rsidRPr="00000000" w14:paraId="0000000A">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C">
      <w:pPr>
        <w:widowControl w:val="0"/>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 m be the size of training samples and m%2 be the remainder of m divided by 2.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and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denote the size of training samples which label are +1 and −1, respectively. Draw randomly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m) training samples {z</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vertAlign w:val="superscript"/>
          <w:rtl w:val="0"/>
        </w:rPr>
        <w:t xml:space="preserve">N1</w:t>
      </w:r>
      <w:r w:rsidDel="00000000" w:rsidR="00000000" w:rsidRPr="00000000">
        <w:rPr>
          <w:rFonts w:ascii="Times New Roman" w:cs="Times New Roman" w:eastAsia="Times New Roman" w:hAnsi="Times New Roman"/>
          <w:sz w:val="24"/>
          <w:szCs w:val="24"/>
          <w:rtl w:val="0"/>
        </w:rPr>
        <w:t xml:space="preserve"> from the dataset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Then we can obtain a preliminary learning model f</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by SVMC and these samples.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and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w:t>
        <w:br w:type="textWrapping"/>
      </w: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 sample from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and denote it as the current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If m%2 = 0,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is −1.</w:t>
        <w:br w:type="textWrapping"/>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another sample from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and denote it the candidate sample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F">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ratio P of e</w:t>
      </w:r>
      <w:r w:rsidDel="00000000" w:rsidR="00000000" w:rsidRPr="00000000">
        <w:rPr>
          <w:rFonts w:ascii="Times New Roman" w:cs="Times New Roman" w:eastAsia="Times New Roman" w:hAnsi="Times New Roman"/>
          <w:sz w:val="24"/>
          <w:szCs w:val="24"/>
          <w:vertAlign w:val="superscript"/>
          <w:rtl w:val="0"/>
        </w:rPr>
        <w:t xml:space="preserve">-l(f0,z)</w:t>
      </w:r>
      <w:r w:rsidDel="00000000" w:rsidR="00000000" w:rsidRPr="00000000">
        <w:rPr>
          <w:rFonts w:ascii="Times New Roman" w:cs="Times New Roman" w:eastAsia="Times New Roman" w:hAnsi="Times New Roman"/>
          <w:sz w:val="24"/>
          <w:szCs w:val="24"/>
          <w:rtl w:val="0"/>
        </w:rPr>
        <w:t xml:space="preserve"> at the sample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and the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P = e−</w:t>
      </w:r>
      <w:r w:rsidDel="00000000" w:rsidR="00000000" w:rsidRPr="00000000">
        <w:rPr>
          <w:rFonts w:ascii="Gungsuh" w:cs="Gungsuh" w:eastAsia="Gungsuh" w:hAnsi="Gungsuh"/>
          <w:sz w:val="24"/>
          <w:szCs w:val="24"/>
          <w:vertAlign w:val="superscript"/>
          <w:rtl w:val="0"/>
        </w:rPr>
        <w:t xml:space="preserve">((f0,z∗)/e−(f0,zt))</w:t>
        <w:br w:type="textWrapping"/>
      </w:r>
      <w:r w:rsidDel="00000000" w:rsidR="00000000" w:rsidRPr="00000000">
        <w:rPr>
          <w:rtl w:val="0"/>
        </w:rPr>
      </w:r>
    </w:p>
    <w:p w:rsidR="00000000" w:rsidDel="00000000" w:rsidP="00000000" w:rsidRDefault="00000000" w:rsidRPr="00000000" w14:paraId="0000001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 −1 and 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with probability P = e−</w:t>
      </w:r>
      <w:r w:rsidDel="00000000" w:rsidR="00000000" w:rsidRPr="00000000">
        <w:rPr>
          <w:rFonts w:ascii="Gungsuh" w:cs="Gungsuh" w:eastAsia="Gungsuh" w:hAnsi="Gungsuh"/>
          <w:sz w:val="24"/>
          <w:szCs w:val="24"/>
          <w:vertAlign w:val="superscript"/>
          <w:rtl w:val="0"/>
        </w:rPr>
        <w:t xml:space="preserve">(y∗f0 /e−ytf0)</w:t>
      </w:r>
      <w:r w:rsidDel="00000000" w:rsidR="00000000" w:rsidRPr="00000000">
        <w:rPr>
          <w:rFonts w:ascii="Times New Roman" w:cs="Times New Roman" w:eastAsia="Times New Roman" w:hAnsi="Times New Roman"/>
          <w:sz w:val="24"/>
          <w:szCs w:val="24"/>
          <w:rtl w:val="0"/>
        </w:rPr>
        <w:t xml:space="preserve"> . If P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1 and 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with probability P = e−</w:t>
      </w:r>
      <w:r w:rsidDel="00000000" w:rsidR="00000000" w:rsidRPr="00000000">
        <w:rPr>
          <w:rFonts w:ascii="Gungsuh" w:cs="Gungsuh" w:eastAsia="Gungsuh" w:hAnsi="Gungsuh"/>
          <w:sz w:val="24"/>
          <w:szCs w:val="24"/>
          <w:vertAlign w:val="superscript"/>
          <w:rtl w:val="0"/>
        </w:rPr>
        <w:t xml:space="preserve">y∗f0</w:t>
      </w:r>
      <w:r w:rsidDel="00000000" w:rsidR="00000000" w:rsidRPr="00000000">
        <w:rPr>
          <w:rFonts w:ascii="Gungsuh" w:cs="Gungsuh" w:eastAsia="Gungsuh" w:hAnsi="Gungsuh"/>
          <w:sz w:val="24"/>
          <w:szCs w:val="24"/>
          <w:rtl w:val="0"/>
        </w:rPr>
        <w:t xml:space="preserve"> /e−</w:t>
      </w:r>
      <w:r w:rsidDel="00000000" w:rsidR="00000000" w:rsidRPr="00000000">
        <w:rPr>
          <w:rFonts w:ascii="Times New Roman" w:cs="Times New Roman" w:eastAsia="Times New Roman" w:hAnsi="Times New Roman"/>
          <w:sz w:val="24"/>
          <w:szCs w:val="24"/>
          <w:vertAlign w:val="superscript"/>
          <w:rtl w:val="0"/>
        </w:rPr>
        <w:t xml:space="preserve">ytf0</w:t>
      </w:r>
      <w:r w:rsidDel="00000000" w:rsidR="00000000" w:rsidRPr="00000000">
        <w:rPr>
          <w:rFonts w:ascii="Times New Roman" w:cs="Times New Roman" w:eastAsia="Times New Roman" w:hAnsi="Times New Roman"/>
          <w:sz w:val="24"/>
          <w:szCs w:val="24"/>
          <w:rtl w:val="0"/>
        </w:rPr>
        <w:t xml:space="preserve"> . If P = 1 and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 −1 or P &lt;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P. If there are k candidate samples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can not be accepted continuously, then set P`` = qP and with probability P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Set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set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is −1 [if the accepted probability P (or P``, P) is larger than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1].</w:t>
        <w:br w:type="textWrapping"/>
      </w:r>
    </w:p>
    <w:p w:rsidR="00000000" w:rsidDel="00000000" w:rsidP="00000000" w:rsidRDefault="00000000" w:rsidRPr="00000000" w14:paraId="0000001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&lt; m/2 or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&lt; m/2 then return to Step C, else stop it.</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1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implementing the above approach on the given dataset , this model was able to achieve  approx. 84.2% to 88% accuracy on 25 iterations.</w:t>
      </w:r>
      <w:r w:rsidDel="00000000" w:rsidR="00000000" w:rsidRPr="00000000">
        <w:rPr>
          <w:rtl w:val="0"/>
        </w:rPr>
      </w:r>
    </w:p>
    <w:p w:rsidR="00000000" w:rsidDel="00000000" w:rsidP="00000000" w:rsidRDefault="00000000" w:rsidRPr="00000000" w14:paraId="00000016">
      <w:pPr>
        <w:shd w:fill="fffffe"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hd w:fill="fffffe"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the generalization ability of SVMCs based on Markov Sampling has improved, as the number of training samples are very large.</w:t>
      </w:r>
      <w:r w:rsidDel="00000000" w:rsidR="00000000" w:rsidRPr="00000000">
        <w:rPr>
          <w:rtl w:val="0"/>
        </w:rPr>
      </w:r>
    </w:p>
    <w:p w:rsidR="00000000" w:rsidDel="00000000" w:rsidP="00000000" w:rsidRDefault="00000000" w:rsidRPr="00000000" w14:paraId="0000001A">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Xu, Jie, et al. "The generalization ability of SVM classification based on Markov sampling." IEEE transactions on cybernetics 45.6 (2014): 1169-1179</w:t>
      </w:r>
    </w:p>
    <w:p w:rsidR="00000000" w:rsidDel="00000000" w:rsidP="00000000" w:rsidRDefault="00000000" w:rsidRPr="00000000" w14:paraId="0000001C">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V. Vapnik, Statistical Learning Theory. New York, NY, USA: Wiley, 1998.</w:t>
      </w:r>
    </w:p>
    <w:p w:rsidR="00000000" w:rsidDel="00000000" w:rsidP="00000000" w:rsidRDefault="00000000" w:rsidRPr="00000000" w14:paraId="0000001E">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Y. J. Tian, Z. Q. Qi, X. C. Ju, Y. Shi, and X. H. Liu, “Nonparallel support</w:t>
      </w:r>
    </w:p>
    <w:p w:rsidR="00000000" w:rsidDel="00000000" w:rsidP="00000000" w:rsidRDefault="00000000" w:rsidRPr="00000000" w14:paraId="00000020">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machines for pattern classification,” IEEE Trans. Cybern., vol. 44,no. 7, pp. 1067–1079, Jul. 2014.</w:t>
      </w:r>
    </w:p>
    <w:p w:rsidR="00000000" w:rsidDel="00000000" w:rsidP="00000000" w:rsidRDefault="00000000" w:rsidRPr="00000000" w14:paraId="00000021">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Swapna Goutham, Soman KP and Vinayakumar R, Automated detection of diabetes using CNN and CNN-LSTM network and heart rate signals, January 2018 Procedia Computer Science 132:1253-1262, DOI: 10.1016/j.procs.2018.05.041</w:t>
      </w:r>
    </w:p>
    <w:p w:rsidR="00000000" w:rsidDel="00000000" w:rsidP="00000000" w:rsidRDefault="00000000" w:rsidRPr="00000000" w14:paraId="00000023">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I. Steinwart, “Consistency of support vector machines and other</w:t>
      </w:r>
    </w:p>
    <w:p w:rsidR="00000000" w:rsidDel="00000000" w:rsidP="00000000" w:rsidRDefault="00000000" w:rsidRPr="00000000" w14:paraId="00000025">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regularized kernel classifiers,” IEEE Trans. Inf. Theory, vol. 51,</w:t>
      </w:r>
    </w:p>
    <w:p w:rsidR="00000000" w:rsidDel="00000000" w:rsidP="00000000" w:rsidRDefault="00000000" w:rsidRPr="00000000" w14:paraId="00000026">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 pp. 128–142, Jan. 2005.</w:t>
      </w:r>
    </w:p>
    <w:p w:rsidR="00000000" w:rsidDel="00000000" w:rsidP="00000000" w:rsidRDefault="00000000" w:rsidRPr="00000000" w14:paraId="00000027">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S. Geman and D. Geman, “Stochastic relaxation, Gibbs distribution and</w:t>
      </w:r>
    </w:p>
    <w:p w:rsidR="00000000" w:rsidDel="00000000" w:rsidP="00000000" w:rsidRDefault="00000000" w:rsidRPr="00000000" w14:paraId="0000002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Bayesian restoration of images,” IEEE Trans. Pattern Anal. Mach.</w:t>
      </w:r>
    </w:p>
    <w:p w:rsidR="00000000" w:rsidDel="00000000" w:rsidP="00000000" w:rsidRDefault="00000000" w:rsidRPr="00000000" w14:paraId="0000002A">
      <w:pPr>
        <w:shd w:fill="fffffe" w:val="clear"/>
        <w:jc w:val="both"/>
        <w:rPr/>
      </w:pPr>
      <w:r w:rsidDel="00000000" w:rsidR="00000000" w:rsidRPr="00000000">
        <w:rPr>
          <w:rFonts w:ascii="Times New Roman" w:cs="Times New Roman" w:eastAsia="Times New Roman" w:hAnsi="Times New Roman"/>
          <w:sz w:val="24"/>
          <w:szCs w:val="24"/>
          <w:rtl w:val="0"/>
        </w:rPr>
        <w:t xml:space="preserve">Intell., vol. 6, no. 6, pp. 721–741, Nov. 1984.</w:t>
      </w:r>
      <w:r w:rsidDel="00000000" w:rsidR="00000000" w:rsidRPr="00000000">
        <w:rPr>
          <w:rtl w:val="0"/>
        </w:rPr>
      </w:r>
    </w:p>
    <w:sectPr>
      <w:type w:val="continuous"/>
      <w:pgSz w:h="15840" w:w="12240" w:orient="portrait"/>
      <w:pgMar w:bottom="1440" w:top="1440" w:left="1440" w:right="1440" w:header="708" w:footer="708"/>
      <w:cols w:equalWidth="0" w:num="2">
        <w:col w:space="708" w:w="4326"/>
        <w:col w:space="0" w:w="432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ycbOF+Vq52znQviQcT3MU3fbA==">AMUW2mUknW+QPVAmIrXHJ4Q2OdcD3TbGGSTUQP7+fkM2N6noTrRDHe6i1VxxTbRyLfWvmES9ojLgftdhcBIFgjtRGFbwp6D+iI9cvxmtWRRkIdC5ftuuGkKLi64Vqdz1HaVXbwInL/dp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2021-03-15T10:29:00Z</dcterms:created>
</cp:coreProperties>
</file>