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rchitecture-deep-dive"/>
    <w:p>
      <w:pPr>
        <w:pStyle w:val="Heading1"/>
      </w:pPr>
      <w:r>
        <w:t xml:space="preserve">Architecture Deep-Dive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Proposal, for architecture/demo review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A ground-up explanation of every structural decision in this repository — the</w:t>
      </w:r>
      <w:r>
        <w:t xml:space="preserve"> </w:t>
      </w:r>
      <w:r>
        <w:t xml:space="preserve">folder layout, the protobuf/gRPC contract layer, the REST entry layer, how a shared library is</w:t>
      </w:r>
      <w:r>
        <w:t xml:space="preserve"> </w:t>
      </w:r>
      <w:r>
        <w:t xml:space="preserve">used safely across independently-deployed services, how hexagonal architecture is realized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 multi-module split, how the strategy pattern gives us a swappable storage backend,</w:t>
      </w:r>
      <w:r>
        <w:t xml:space="preserve"> </w:t>
      </w:r>
      <w:r>
        <w:t xml:space="preserve">and how Helm/scripts/docs/infra/config/docker-compose/the outbox pattern/ArchUnit all fit</w:t>
      </w:r>
      <w:r>
        <w:t xml:space="preserve"> </w:t>
      </w:r>
      <w:r>
        <w:t xml:space="preserve">together. The pattern is domain-agnostic — it would hold for order processing, claims</w:t>
      </w:r>
      <w:r>
        <w:t xml:space="preserve"> </w:t>
      </w:r>
      <w:r>
        <w:t xml:space="preserve">processing, or document ingestion equally — but every section grounds the explanation in the</w:t>
      </w:r>
      <w:r>
        <w:t xml:space="preserve"> </w:t>
      </w:r>
      <w:r>
        <w:t xml:space="preserve">concrete repository so it’s verifiable, not abstract.</w:t>
      </w:r>
    </w:p>
    <w:p>
      <w:r>
        <w:pict>
          <v:rect style="width:0;height:1.5pt" o:hralign="center" o:hrstd="t" o:hr="t"/>
        </w:pict>
      </w:r>
    </w:p>
    <w:bookmarkStart w:id="10" w:name="folder-structure-top-to-bottom"/>
    <w:p>
      <w:pPr>
        <w:pStyle w:val="Heading2"/>
      </w:pPr>
      <w:r>
        <w:t xml:space="preserve">1. Folder structure, top to bottom</w:t>
      </w:r>
    </w:p>
    <w:p>
      <w:pPr>
        <w:pStyle w:val="SourceCode"/>
      </w:pPr>
      <w:r>
        <w:rPr>
          <w:rStyle w:val="VerbatimChar"/>
        </w:rPr>
        <w:t xml:space="preserve">platform/</w:t>
      </w:r>
      <w:r>
        <w:br/>
      </w:r>
      <w:r>
        <w:rPr>
          <w:rStyle w:val="VerbatimChar"/>
        </w:rPr>
        <w:t xml:space="preserve">├── pom.xml                     ← Maven parent: module list + shared dependency versions</w:t>
      </w:r>
      <w:r>
        <w:br/>
      </w:r>
      <w:r>
        <w:rPr>
          <w:rStyle w:val="VerbatimChar"/>
        </w:rPr>
        <w:t xml:space="preserve">├── docker-compose.yml          ← one-command local infra (§10)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common-library/             ← shared jar (§4)</w:t>
      </w:r>
      <w:r>
        <w:br/>
      </w:r>
      <w:r>
        <w:rPr>
          <w:rStyle w:val="VerbatimChar"/>
        </w:rPr>
        <w:t xml:space="preserve">├── protos/                     ← shared gRPC contracts (§2)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&lt;service-a&gt;/                ← one Maven module = one deployable</w:t>
      </w:r>
      <w:r>
        <w:br/>
      </w:r>
      <w:r>
        <w:rPr>
          <w:rStyle w:val="VerbatimChar"/>
        </w:rPr>
        <w:t xml:space="preserve">├── &lt;service-b&gt;/</w:t>
      </w:r>
      <w:r>
        <w:br/>
      </w:r>
      <w:r>
        <w:rPr>
          <w:rStyle w:val="VerbatimChar"/>
        </w:rPr>
        <w:t xml:space="preserve">├── &lt;service-c&gt;/                (repeat per bounded context)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architecture-tests/         ← ArchUnit: enforces layering at build time (§8)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helm/&lt;service&gt;/              ← one Helm chart per service (§6)</w:t>
      </w:r>
      <w:r>
        <w:br/>
      </w:r>
      <w:r>
        <w:rPr>
          <w:rStyle w:val="VerbatimChar"/>
        </w:rPr>
        <w:t xml:space="preserve">├── infra/                       ← local-dev-only provisioning (§7)</w:t>
      </w:r>
      <w:r>
        <w:br/>
      </w:r>
      <w:r>
        <w:rPr>
          <w:rStyle w:val="VerbatimChar"/>
        </w:rPr>
        <w:t xml:space="preserve">├── scripts/                     ← thin operational wrappers (§6.1)</w:t>
      </w:r>
      <w:r>
        <w:br/>
      </w:r>
      <w:r>
        <w:rPr>
          <w:rStyle w:val="VerbatimChar"/>
        </w:rPr>
        <w:t xml:space="preserve">└── docs/                        ← this file and its siblings (§6.2)</w:t>
      </w:r>
    </w:p>
    <w:p>
      <w:pPr>
        <w:pStyle w:val="FirstParagraph"/>
      </w:pPr>
      <w:r>
        <w:rPr>
          <w:b/>
          <w:bCs/>
        </w:rPr>
        <w:t xml:space="preserve">The organizing principle:</w:t>
      </w:r>
      <w:r>
        <w:t xml:space="preserve"> </w:t>
      </w:r>
      <w:r>
        <w:t xml:space="preserve">every top-level folder answers exactly one question about the</w:t>
      </w:r>
      <w:r>
        <w:t xml:space="preserve"> </w:t>
      </w:r>
      <w:r>
        <w:t xml:space="preserve">system —</w:t>
      </w:r>
      <w:r>
        <w:t xml:space="preserve"> </w:t>
      </w:r>
      <w:r>
        <w:t xml:space="preserve">“what’s the shared contract”</w:t>
      </w:r>
      <w:r>
        <w:t xml:space="preserve"> </w:t>
      </w:r>
      <w:r>
        <w:t xml:space="preserve">(</w:t>
      </w:r>
      <w:r>
        <w:rPr>
          <w:rStyle w:val="VerbatimChar"/>
        </w:rPr>
        <w:t xml:space="preserve">protos</w:t>
      </w:r>
      <w:r>
        <w:t xml:space="preserve">),</w:t>
      </w:r>
      <w:r>
        <w:t xml:space="preserve"> </w:t>
      </w:r>
      <w:r>
        <w:t xml:space="preserve">“what’s genuinely shared code”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common-library</w:t>
      </w:r>
      <w:r>
        <w:t xml:space="preserve">),</w:t>
      </w:r>
      <w:r>
        <w:t xml:space="preserve"> </w:t>
      </w:r>
      <w:r>
        <w:t xml:space="preserve">“what runs as its own process”</w:t>
      </w:r>
      <w:r>
        <w:t xml:space="preserve"> </w:t>
      </w:r>
      <w:r>
        <w:t xml:space="preserve">(each service folder),</w:t>
      </w:r>
      <w:r>
        <w:t xml:space="preserve"> </w:t>
      </w:r>
      <w:r>
        <w:t xml:space="preserve">“does the layering</w:t>
      </w:r>
      <w:r>
        <w:t xml:space="preserve"> </w:t>
      </w:r>
      <w:r>
        <w:t xml:space="preserve">stay honest”</w:t>
      </w:r>
      <w:r>
        <w:t xml:space="preserve"> </w:t>
      </w:r>
      <w:r>
        <w:t xml:space="preserve">(</w:t>
      </w:r>
      <w:r>
        <w:rPr>
          <w:rStyle w:val="VerbatimChar"/>
        </w:rPr>
        <w:t xml:space="preserve">architecture-tests</w:t>
      </w:r>
      <w:r>
        <w:t xml:space="preserve">),</w:t>
      </w:r>
      <w:r>
        <w:t xml:space="preserve"> </w:t>
      </w:r>
      <w:r>
        <w:t xml:space="preserve">“how does this get deployed”</w:t>
      </w:r>
      <w:r>
        <w:t xml:space="preserve"> </w:t>
      </w:r>
      <w:r>
        <w:t xml:space="preserve">(</w:t>
      </w:r>
      <w:r>
        <w:rPr>
          <w:rStyle w:val="VerbatimChar"/>
        </w:rPr>
        <w:t xml:space="preserve">helm</w:t>
      </w:r>
      <w:r>
        <w:t xml:space="preserve">),</w:t>
      </w:r>
      <w:r>
        <w:t xml:space="preserve"> </w:t>
      </w:r>
      <w:r>
        <w:t xml:space="preserve">“how do I run this on</w:t>
      </w:r>
      <w:r>
        <w:t xml:space="preserve"> </w:t>
      </w:r>
      <w:r>
        <w:t xml:space="preserve">my laptop”</w:t>
      </w:r>
      <w:r>
        <w:t xml:space="preserve"> </w:t>
      </w:r>
      <w:r>
        <w:t xml:space="preserve">(</w:t>
      </w:r>
      <w:r>
        <w:rPr>
          <w:rStyle w:val="VerbatimChar"/>
        </w:rPr>
        <w:t xml:space="preserve">infra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),</w:t>
      </w:r>
      <w:r>
        <w:t xml:space="preserve"> </w:t>
      </w:r>
      <w:r>
        <w:t xml:space="preserve">“how do I understand any of this”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</w:t>
      </w:r>
      <w:r>
        <w:t xml:space="preserve">). No folder tries to answer two of those questions at once — that’s what keeps a</w:t>
      </w:r>
      <w:r>
        <w:t xml:space="preserve"> </w:t>
      </w:r>
      <w:r>
        <w:t xml:space="preserve">multi-module repository like this navigable as it grows.</w:t>
      </w:r>
    </w:p>
    <w:bookmarkStart w:id="9" w:name="does-every-service-need-its-own-database"/>
    <w:p>
      <w:pPr>
        <w:pStyle w:val="Heading3"/>
      </w:pPr>
      <w:r>
        <w:t xml:space="preserve">1.1 Does every service need its own database?</w:t>
      </w:r>
    </w:p>
    <w:p>
      <w:pPr>
        <w:pStyle w:val="FirstParagraph"/>
      </w:pPr>
      <w:r>
        <w:t xml:space="preserve">No —</w:t>
      </w:r>
      <w:r>
        <w:t xml:space="preserve"> </w:t>
      </w:r>
      <w:r>
        <w:t xml:space="preserve">“one service, one database”</w:t>
      </w:r>
      <w:r>
        <w:t xml:space="preserve"> </w:t>
      </w:r>
      <w:r>
        <w:t xml:space="preserve">applies to services that own persistent state; it isn’t a</w:t>
      </w:r>
      <w:r>
        <w:t xml:space="preserve"> </w:t>
      </w:r>
      <w:r>
        <w:t xml:space="preserve">mandate that every module must have one. A purely stateless service (a router, an aggregator, a</w:t>
      </w:r>
      <w:r>
        <w:t xml:space="preserve"> </w:t>
      </w:r>
      <w:r>
        <w:t xml:space="preserve">notification dispatcher, an API gateway fronting others) is still its own Maven module and its</w:t>
      </w:r>
      <w:r>
        <w:t xml:space="preserve"> </w:t>
      </w:r>
      <w:r>
        <w:t xml:space="preserve">own deployable, but simply has no</w:t>
      </w:r>
      <w:r>
        <w:t xml:space="preserve"> </w:t>
      </w:r>
      <w:r>
        <w:rPr>
          <w:rStyle w:val="VerbatimChar"/>
        </w:rPr>
        <w:t xml:space="preserve">entity/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repository/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db/migration/</w:t>
      </w:r>
      <w:r>
        <w:t xml:space="preserve"> </w:t>
      </w:r>
      <w:r>
        <w:t xml:space="preserve">— no JPA/Flyway</w:t>
      </w:r>
      <w:r>
        <w:t xml:space="preserve"> </w:t>
      </w:r>
      <w:r>
        <w:t xml:space="preserve">dependency in its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, no</w:t>
      </w:r>
      <w:r>
        <w:t xml:space="preserve"> </w:t>
      </w:r>
      <w:r>
        <w:rPr>
          <w:rStyle w:val="VerbatimChar"/>
        </w:rPr>
        <w:t xml:space="preserve">datasource</w:t>
      </w:r>
      <w:r>
        <w:t xml:space="preserve"> </w:t>
      </w:r>
      <w:r>
        <w:t xml:space="preserve">block in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. It holds logic only:</w:t>
      </w:r>
      <w:r>
        <w:t xml:space="preserve"> </w:t>
      </w:r>
      <w:r>
        <w:t xml:space="preserve">gRPC calls out, Kafka listen/publish, REST. ArchUnit’s entity/repository rules (§11) don’t apply</w:t>
      </w:r>
      <w:r>
        <w:t xml:space="preserve"> </w:t>
      </w:r>
      <w:r>
        <w:t xml:space="preserve">to it, because those packages don’t exist there — nothing needs to be disabled or special-cased.</w:t>
      </w:r>
    </w:p>
    <w:p>
      <w:pPr>
        <w:pStyle w:val="BodyText"/>
      </w:pPr>
      <w:r>
        <w:t xml:space="preserve">If a service needs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state but not a full relational store — a short-lived idempotency</w:t>
      </w:r>
      <w:r>
        <w:t xml:space="preserve"> </w:t>
      </w:r>
      <w:r>
        <w:t xml:space="preserve">cache, a rate-limit counter — the right move is still</w:t>
      </w:r>
      <w:r>
        <w:t xml:space="preserve"> </w:t>
      </w:r>
      <w:r>
        <w:t xml:space="preserve">“its own store, never borrowed from another</w:t>
      </w:r>
      <w:r>
        <w:t xml:space="preserve"> </w:t>
      </w:r>
      <w:r>
        <w:t xml:space="preserve">service’s database”</w:t>
      </w:r>
      <w:r>
        <w:t xml:space="preserve">: something like Redis, scoped to that service alone, preserves the</w:t>
      </w:r>
      <w:r>
        <w:t xml:space="preserve"> </w:t>
      </w:r>
      <w:r>
        <w:t xml:space="preserve">no-shared-schema principle without forcing a full Postgres instance onto a service that doesn’t</w:t>
      </w:r>
      <w:r>
        <w:t xml:space="preserve"> </w:t>
      </w:r>
      <w:r>
        <w:t xml:space="preserve">need one.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16b4d093cf0e5bc3579e8d60d25016151f01e59"/>
    <w:p>
      <w:pPr>
        <w:pStyle w:val="Heading2"/>
      </w:pPr>
      <w:r>
        <w:t xml:space="preserve">2. How the protobuf/gRPC contract layer (</w:t>
      </w:r>
      <w:r>
        <w:rPr>
          <w:rStyle w:val="VerbatimChar"/>
        </w:rPr>
        <w:t xml:space="preserve">protos/</w:t>
      </w:r>
      <w:r>
        <w:t xml:space="preserve">) is laid out</w:t>
      </w:r>
    </w:p>
    <w:p>
      <w:pPr>
        <w:pStyle w:val="SourceCode"/>
      </w:pPr>
      <w:r>
        <w:rPr>
          <w:rStyle w:val="VerbatimChar"/>
        </w:rPr>
        <w:t xml:space="preserve">protos/src/main/proto/</w:t>
      </w:r>
      <w:r>
        <w:br/>
      </w:r>
      <w:r>
        <w:rPr>
          <w:rStyle w:val="VerbatimChar"/>
        </w:rPr>
        <w:t xml:space="preserve">├── common/v1/</w:t>
      </w:r>
      <w:r>
        <w:br/>
      </w:r>
      <w:r>
        <w:rPr>
          <w:rStyle w:val="VerbatimChar"/>
        </w:rPr>
        <w:t xml:space="preserve">│   └── common.proto             ← shared message types (error envelope, etc.)</w:t>
      </w:r>
      <w:r>
        <w:br/>
      </w:r>
      <w:r>
        <w:rPr>
          <w:rStyle w:val="VerbatimChar"/>
        </w:rPr>
        <w:t xml:space="preserve">├── &lt;context-a&gt;/v1/</w:t>
      </w:r>
      <w:r>
        <w:br/>
      </w:r>
      <w:r>
        <w:rPr>
          <w:rStyle w:val="VerbatimChar"/>
        </w:rPr>
        <w:t xml:space="preserve">│   └── &lt;context_a&gt;_service.proto</w:t>
      </w:r>
      <w:r>
        <w:br/>
      </w:r>
      <w:r>
        <w:rPr>
          <w:rStyle w:val="VerbatimChar"/>
        </w:rPr>
        <w:t xml:space="preserve">├── &lt;context-b&gt;/v1/</w:t>
      </w:r>
      <w:r>
        <w:br/>
      </w:r>
      <w:r>
        <w:rPr>
          <w:rStyle w:val="VerbatimChar"/>
        </w:rPr>
        <w:t xml:space="preserve">│   └── &lt;context_b&gt;_service.proto</w:t>
      </w:r>
      <w:r>
        <w:br/>
      </w:r>
      <w:r>
        <w:rPr>
          <w:rStyle w:val="VerbatimChar"/>
        </w:rPr>
        <w:t xml:space="preserve">└── ...                          ← one folder per bounded context</w:t>
      </w:r>
    </w:p>
    <w:p>
      <w:pPr>
        <w:pStyle w:val="FirstParagraph"/>
      </w:pPr>
      <w:r>
        <w:rPr>
          <w:b/>
          <w:bCs/>
        </w:rPr>
        <w:t xml:space="preserve">One package per bounded context, each independently versioned (</w:t>
      </w:r>
      <w:r>
        <w:rPr>
          <w:rStyle w:val="VerbatimChar"/>
          <w:b/>
          <w:bCs/>
        </w:rPr>
        <w:t xml:space="preserve">v1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v2</w:t>
      </w:r>
      <w:r>
        <w:rPr>
          <w:b/>
          <w:bCs/>
        </w:rPr>
        <w:t xml:space="preserve">, …).</w:t>
      </w:r>
      <w:r>
        <w:t xml:space="preserve"> </w:t>
      </w:r>
      <w:r>
        <w:t xml:space="preserve">This is</w:t>
      </w:r>
      <w:r>
        <w:t xml:space="preserve"> </w:t>
      </w:r>
      <w:r>
        <w:t xml:space="preserve">deliberate: if</w:t>
      </w:r>
      <w:r>
        <w:t xml:space="preserve"> </w:t>
      </w:r>
      <w:r>
        <w:rPr>
          <w:rStyle w:val="VerbatimChar"/>
        </w:rPr>
        <w:t xml:space="preserve">&lt;context-b&gt;</w:t>
      </w:r>
      <w:r>
        <w:t xml:space="preserve">’s contract needs a breaking change, only</w:t>
      </w:r>
      <w:r>
        <w:t xml:space="preserve"> </w:t>
      </w:r>
      <w:r>
        <w:rPr>
          <w:rStyle w:val="VerbatimChar"/>
        </w:rPr>
        <w:t xml:space="preserve">&lt;context-b&gt;/v2/</w:t>
      </w:r>
      <w:r>
        <w:t xml:space="preserve"> </w:t>
      </w:r>
      <w:r>
        <w:t xml:space="preserve">gets</w:t>
      </w:r>
      <w:r>
        <w:t xml:space="preserve"> </w:t>
      </w:r>
      <w:r>
        <w:t xml:space="preserve">created — every other service’s contract, and every service that</w:t>
      </w:r>
      <w:r>
        <w:t xml:space="preserve"> </w:t>
      </w:r>
      <w:r>
        <w:rPr>
          <w:i/>
          <w:iCs/>
        </w:rPr>
        <w:t xml:space="preserve">doesn’t</w:t>
      </w:r>
      <w:r>
        <w:t xml:space="preserve"> </w:t>
      </w:r>
      <w:r>
        <w:t xml:space="preserve">depend on</w:t>
      </w:r>
      <w:r>
        <w:t xml:space="preserve"> </w:t>
      </w:r>
      <w:r>
        <w:rPr>
          <w:rStyle w:val="VerbatimChar"/>
        </w:rPr>
        <w:t xml:space="preserve">&lt;context-b&gt;</w:t>
      </w:r>
      <w:r>
        <w:t xml:space="preserve">, is completely unaffected. A single shared</w:t>
      </w:r>
      <w:r>
        <w:t xml:space="preserve"> </w:t>
      </w:r>
      <w:r>
        <w:rPr>
          <w:rStyle w:val="VerbatimChar"/>
        </w:rPr>
        <w:t xml:space="preserve">platform.proto</w:t>
      </w:r>
      <w:r>
        <w:t xml:space="preserve"> </w:t>
      </w:r>
      <w:r>
        <w:t xml:space="preserve">with everything in one</w:t>
      </w:r>
      <w:r>
        <w:t xml:space="preserve"> </w:t>
      </w:r>
      <w:r>
        <w:t xml:space="preserve">package would force a coordinated version bump across the whole system for any change.</w:t>
      </w:r>
    </w:p>
    <w:p>
      <w:pPr>
        <w:pStyle w:val="BodyText"/>
      </w:pPr>
      <w:r>
        <w:rPr>
          <w:b/>
          <w:bCs/>
        </w:rPr>
        <w:t xml:space="preserve">What’s actually inside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.proto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— a contract, nothing else:</w:t>
      </w:r>
    </w:p>
    <w:p>
      <w:pPr>
        <w:pStyle w:val="SourceCode"/>
      </w:pPr>
      <w:r>
        <w:rPr>
          <w:rStyle w:val="NormalTok"/>
        </w:rPr>
        <w:t xml:space="preserve">syntax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"proto3"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insight.upload.v1;</w:t>
      </w:r>
      <w:r>
        <w:br/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java_package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"com.insight.protos.upload.v1"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java_multiple_files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service</w:t>
      </w:r>
      <w:r>
        <w:rPr>
          <w:rStyle w:val="NormalTok"/>
        </w:rPr>
        <w:t xml:space="preserve"> UploadQueryService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GetUploadStatus (GetUploadStatusRequest)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(GetUploadStatusResponse);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GetUploadStatusRequest  {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upload_id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}</w:t>
      </w:r>
      <w:r>
        <w:br/>
      </w:r>
      <w:r>
        <w:rPr>
          <w:rStyle w:val="KeywordTok"/>
        </w:rPr>
        <w:t xml:space="preserve">message</w:t>
      </w:r>
      <w:r>
        <w:rPr>
          <w:rStyle w:val="NormalTok"/>
        </w:rPr>
        <w:t xml:space="preserve"> GetUploadStatusResponse {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upload_id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 }</w:t>
      </w:r>
    </w:p>
    <w:p>
      <w:pPr>
        <w:pStyle w:val="FirstParagraph"/>
      </w:pPr>
      <w:r>
        <w:rPr>
          <w:b/>
          <w:bCs/>
        </w:rPr>
        <w:t xml:space="preserve">Why this lives in its own Maven module, not inside each service:</w:t>
      </w:r>
      <w:r>
        <w:t xml:space="preserve"> </w:t>
      </w:r>
      <w:r>
        <w:rPr>
          <w:rStyle w:val="VerbatimChar"/>
        </w:rPr>
        <w:t xml:space="preserve">protos/pom.xml</w:t>
      </w:r>
      <w:r>
        <w:t xml:space="preserve"> </w:t>
      </w:r>
      <w:r>
        <w:t xml:space="preserve">runs the</w:t>
      </w:r>
      <w:r>
        <w:t xml:space="preserve"> </w:t>
      </w:r>
      <w:r>
        <w:rPr>
          <w:rStyle w:val="VerbatimChar"/>
        </w:rPr>
        <w:t xml:space="preserve">protobuf-maven-plugin</w:t>
      </w:r>
      <w:r>
        <w:t xml:space="preserve">, which invokes</w:t>
      </w:r>
      <w:r>
        <w:t xml:space="preserve"> </w:t>
      </w:r>
      <w:r>
        <w:rPr>
          <w:rStyle w:val="VerbatimChar"/>
        </w:rPr>
        <w:t xml:space="preserve">protoc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protoc-gen-grpc-java</w:t>
      </w:r>
      <w:r>
        <w:t xml:space="preserve"> </w:t>
      </w:r>
      <w:r>
        <w:t xml:space="preserve">to turn every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 </w:t>
      </w:r>
      <w:r>
        <w:t xml:space="preserve">file into real Java classes — message classes and a generated</w:t>
      </w:r>
      <w:r>
        <w:t xml:space="preserve"> </w:t>
      </w:r>
      <w:r>
        <w:rPr>
          <w:rStyle w:val="VerbatimChar"/>
        </w:rPr>
        <w:t xml:space="preserve">XxxServiceGrpc</w:t>
      </w:r>
      <w:r>
        <w:t xml:space="preserve"> </w:t>
      </w:r>
      <w:r>
        <w:t xml:space="preserve">class containing</w:t>
      </w:r>
      <w:r>
        <w:t xml:space="preserve"> </w:t>
      </w:r>
      <w:r>
        <w:t xml:space="preserve">both the server-side base class (</w:t>
      </w:r>
      <w:r>
        <w:rPr>
          <w:rStyle w:val="VerbatimChar"/>
        </w:rPr>
        <w:t xml:space="preserve">XxxServiceImplBase</w:t>
      </w:r>
      <w:r>
        <w:t xml:space="preserve">) and the client-side stub</w:t>
      </w:r>
      <w:r>
        <w:t xml:space="preserve"> </w:t>
      </w:r>
      <w:r>
        <w:t xml:space="preserve">(</w:t>
      </w:r>
      <w:r>
        <w:rPr>
          <w:rStyle w:val="VerbatimChar"/>
        </w:rPr>
        <w:t xml:space="preserve">XxxServiceBlockingStub</w:t>
      </w:r>
      <w:r>
        <w:t xml:space="preserve">). That generation happens</w:t>
      </w:r>
      <w:r>
        <w:t xml:space="preserve"> </w:t>
      </w:r>
      <w:r>
        <w:rPr>
          <w:b/>
          <w:bCs/>
        </w:rPr>
        <w:t xml:space="preserve">once</w:t>
      </w:r>
      <w:r>
        <w:t xml:space="preserve">, the result is compiled and</w:t>
      </w:r>
      <w:r>
        <w:t xml:space="preserve"> </w:t>
      </w:r>
      <w:r>
        <w:t xml:space="preserve">installed as</w:t>
      </w:r>
      <w:r>
        <w:t xml:space="preserve"> </w:t>
      </w:r>
      <w:r>
        <w:rPr>
          <w:rStyle w:val="VerbatimChar"/>
        </w:rPr>
        <w:t xml:space="preserve">protos-1.0.0-SNAPSHOT.jar</w:t>
      </w:r>
      <w:r>
        <w:t xml:space="preserve">, and every service that needs it (whether it’s</w:t>
      </w:r>
      <w:r>
        <w:t xml:space="preserve"> </w:t>
      </w:r>
      <w:r>
        <w:t xml:space="preserve">implementing the server side or calling it as a client) adds one</w:t>
      </w:r>
      <w:r>
        <w:t xml:space="preserve"> </w:t>
      </w:r>
      <w:r>
        <w:rPr>
          <w:rStyle w:val="VerbatimChar"/>
        </w:rPr>
        <w:t xml:space="preserve">&lt;dependency&gt;</w:t>
      </w:r>
      <w:r>
        <w:t xml:space="preserve"> </w:t>
      </w:r>
      <w:r>
        <w:t xml:space="preserve">line and gets</w:t>
      </w:r>
      <w:r>
        <w:t xml:space="preserve"> </w:t>
      </w:r>
      <w:r>
        <w:t xml:space="preserve">byte-for-byte the same generated classes. No service maintains its own copy of another service’s</w:t>
      </w:r>
      <w:r>
        <w:t xml:space="preserve"> </w:t>
      </w:r>
      <w:r>
        <w:t xml:space="preserve">contract, which is what makes the contract actually binding rather than aspirational.</w:t>
      </w:r>
    </w:p>
    <w:p>
      <w:r>
        <w:pict>
          <v:rect style="width:0;height:1.5pt" o:hralign="center" o:hrstd="t" o:hr="t"/>
        </w:pict>
      </w:r>
    </w:p>
    <w:bookmarkEnd w:id="11"/>
    <w:bookmarkStart w:id="12" w:name="X8491310026b2fc1caedd5d7a0f317f0337e81fb"/>
    <w:p>
      <w:pPr>
        <w:pStyle w:val="Heading2"/>
      </w:pPr>
      <w:r>
        <w:t xml:space="preserve">3. The REST entry layer — what it is and isn’t responsible for</w:t>
      </w:r>
    </w:p>
    <w:p>
      <w:pPr>
        <w:pStyle w:val="FirstParagraph"/>
      </w:pPr>
      <w:r>
        <w:t xml:space="preserve">Every service that’s externally callable has a</w:t>
      </w:r>
      <w:r>
        <w:t xml:space="preserve"> </w:t>
      </w:r>
      <w:r>
        <w:rPr>
          <w:rStyle w:val="VerbatimChar"/>
        </w:rPr>
        <w:t xml:space="preserve">controller/</w:t>
      </w:r>
      <w:r>
        <w:t xml:space="preserve"> </w:t>
      </w:r>
      <w:r>
        <w:t xml:space="preserve">package: thin classes annotated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, whose only job is translating HTTP concepts into a plain method call.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"/api/v1/uploads"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UploadController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"/initiate"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InitiateUploadResponse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initiate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@Valid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InitiateUploadRequest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uploadService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fileName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this layer does:</w:t>
      </w:r>
      <w:r>
        <w:t xml:space="preserve"> </w:t>
      </w:r>
      <w:r>
        <w:t xml:space="preserve">deserializes the request body (</w:t>
      </w:r>
      <w:r>
        <w:rPr>
          <w:rStyle w:val="VerbatimChar"/>
        </w:rPr>
        <w:t xml:space="preserve">@RequestBody</w:t>
      </w:r>
      <w:r>
        <w:t xml:space="preserve">), validates it before the</w:t>
      </w:r>
      <w:r>
        <w:t xml:space="preserve"> </w:t>
      </w:r>
      <w:r>
        <w:t xml:space="preserve">method body even runs (</w:t>
      </w:r>
      <w:r>
        <w:rPr>
          <w:rStyle w:val="VerbatimChar"/>
        </w:rPr>
        <w:t xml:space="preserve">@Valid</w:t>
      </w:r>
      <w:r>
        <w:t xml:space="preserve">), extracts path/query values (</w:t>
      </w:r>
      <w:r>
        <w:rPr>
          <w:rStyle w:val="VerbatimChar"/>
        </w:rPr>
        <w:t xml:space="preserve">@PathVariable</w:t>
      </w:r>
      <w:r>
        <w:t xml:space="preserve">), and picks the</w:t>
      </w:r>
      <w:r>
        <w:t xml:space="preserve"> </w:t>
      </w:r>
      <w:r>
        <w:t xml:space="preserve">right HTTP status code for the response.</w:t>
      </w:r>
      <w:r>
        <w:t xml:space="preserve"> </w:t>
      </w:r>
      <w:r>
        <w:rPr>
          <w:b/>
          <w:bCs/>
        </w:rPr>
        <w:t xml:space="preserve">What this layer explicitly does not do:</w:t>
      </w:r>
      <w:r>
        <w:t xml:space="preserve"> </w:t>
      </w:r>
      <w:r>
        <w:t xml:space="preserve">no business</w:t>
      </w:r>
      <w:r>
        <w:t xml:space="preserve"> </w:t>
      </w:r>
      <w:r>
        <w:t xml:space="preserve">logic, no direct repository access, no direct calls to infrastructure (storage clients, Kafka</w:t>
      </w:r>
      <w:r>
        <w:t xml:space="preserve"> </w:t>
      </w:r>
      <w:r>
        <w:t xml:space="preserve">producers) — all of that is one line away, in the</w:t>
      </w:r>
      <w:r>
        <w:t xml:space="preserve"> </w:t>
      </w:r>
      <w:r>
        <w:rPr>
          <w:rStyle w:val="VerbatimChar"/>
        </w:rPr>
        <w:t xml:space="preserve">service/</w:t>
      </w:r>
      <w:r>
        <w:t xml:space="preserve"> </w:t>
      </w:r>
      <w:r>
        <w:t xml:space="preserve">package. This is enforced, not just</w:t>
      </w:r>
      <w:r>
        <w:t xml:space="preserve"> </w:t>
      </w:r>
      <w:r>
        <w:t xml:space="preserve">convention — see §8.</w:t>
      </w:r>
    </w:p>
    <w:p>
      <w:pPr>
        <w:pStyle w:val="BodyText"/>
      </w:pPr>
      <w:r>
        <w:t xml:space="preserve">Paired with the controller is a</w:t>
      </w:r>
      <w:r>
        <w:t xml:space="preserve"> </w:t>
      </w:r>
      <w:r>
        <w:rPr>
          <w:rStyle w:val="VerbatimChar"/>
        </w:rPr>
        <w:t xml:space="preserve">GlobalExceptionHandler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@RestControllerAdvice</w:t>
      </w:r>
      <w:r>
        <w:t xml:space="preserve">) per service,</w:t>
      </w:r>
      <w:r>
        <w:t xml:space="preserve"> </w:t>
      </w:r>
      <w:r>
        <w:t xml:space="preserve">which turns domain exceptions into a consistent JSON error shape (</w:t>
      </w:r>
      <w:r>
        <w:rPr>
          <w:rStyle w:val="VerbatimChar"/>
        </w:rPr>
        <w:t xml:space="preserve">ApiError</w:t>
      </w:r>
      <w:r>
        <w:t xml:space="preserve">, from</w:t>
      </w:r>
      <w:r>
        <w:t xml:space="preserve"> </w:t>
      </w:r>
      <w:r>
        <w:rPr>
          <w:rStyle w:val="VerbatimChar"/>
        </w:rPr>
        <w:t xml:space="preserve">common-library</w:t>
      </w:r>
      <w:r>
        <w:t xml:space="preserve">) with the right HTTP status — a</w:t>
      </w:r>
      <w:r>
        <w:t xml:space="preserve"> </w:t>
      </w:r>
      <w:r>
        <w:rPr>
          <w:rStyle w:val="VerbatimChar"/>
        </w:rPr>
        <w:t xml:space="preserve">ResourceNotFoundException</w:t>
      </w:r>
      <w:r>
        <w:t xml:space="preserve"> </w:t>
      </w:r>
      <w:r>
        <w:t xml:space="preserve">subclass becomes a</w:t>
      </w:r>
      <w:r>
        <w:t xml:space="preserve"> </w:t>
      </w:r>
      <w:r>
        <w:rPr>
          <w:rStyle w:val="VerbatimChar"/>
        </w:rPr>
        <w:t xml:space="preserve">404</w:t>
      </w:r>
      <w:r>
        <w:t xml:space="preserve">, a conflict-type exception becomes a</w:t>
      </w:r>
      <w:r>
        <w:t xml:space="preserve"> </w:t>
      </w:r>
      <w:r>
        <w:rPr>
          <w:rStyle w:val="VerbatimChar"/>
        </w:rPr>
        <w:t xml:space="preserve">409</w:t>
      </w:r>
      <w:r>
        <w:t xml:space="preserve">, and so on. The controller method itself never</w:t>
      </w:r>
      <w:r>
        <w:t xml:space="preserve"> </w:t>
      </w:r>
      <w:r>
        <w:t xml:space="preserve">has a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in it — exception-to-status-code translation is centralized in exactly one</w:t>
      </w:r>
      <w:r>
        <w:t xml:space="preserve"> </w:t>
      </w:r>
      <w:r>
        <w:t xml:space="preserve">place per service.</w:t>
      </w:r>
    </w:p>
    <w:p>
      <w:r>
        <w:pict>
          <v:rect style="width:0;height:1.5pt" o:hralign="center" o:hrstd="t" o:hr="t"/>
        </w:pict>
      </w:r>
    </w:p>
    <w:bookmarkEnd w:id="12"/>
    <w:bookmarkStart w:id="13" w:name="Xec9c36003f72fcfc8d8a71a9c4a215c16ab8ec1"/>
    <w:p>
      <w:pPr>
        <w:pStyle w:val="Heading2"/>
      </w:pPr>
      <w:r>
        <w:t xml:space="preserve">4. How</w:t>
      </w:r>
      <w:r>
        <w:t xml:space="preserve"> </w:t>
      </w:r>
      <w:r>
        <w:rPr>
          <w:rStyle w:val="VerbatimChar"/>
        </w:rPr>
        <w:t xml:space="preserve">common-library</w:t>
      </w:r>
      <w:r>
        <w:t xml:space="preserve"> </w:t>
      </w:r>
      <w:r>
        <w:t xml:space="preserve">is used across services</w:t>
      </w:r>
    </w:p>
    <w:p>
      <w:pPr>
        <w:pStyle w:val="FirstParagraph"/>
      </w:pPr>
      <w:r>
        <w:rPr>
          <w:rStyle w:val="VerbatimChar"/>
        </w:rPr>
        <w:t xml:space="preserve">common-library</w:t>
      </w:r>
      <w:r>
        <w:t xml:space="preserve"> </w:t>
      </w:r>
      <w:r>
        <w:t xml:space="preserve">is a plain Maven dependency, not a running service — nothing in it executes on</w:t>
      </w:r>
      <w:r>
        <w:t xml:space="preserve"> </w:t>
      </w:r>
      <w:r>
        <w:t xml:space="preserve">its own; it’s compiled into whichever service jar depends on it. It holds exactly two kinds of</w:t>
      </w:r>
      <w:r>
        <w:t xml:space="preserve"> </w:t>
      </w:r>
      <w:r>
        <w:t xml:space="preserve">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Cross-cutting shapes and base types</w:t>
      </w:r>
      <w:r>
        <w:t xml:space="preserve"> </w:t>
      </w:r>
      <w:r>
        <w:t xml:space="preserve">used identically everywhere: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 </w:t>
      </w:r>
      <w:r>
        <w:t xml:space="preserve">(the shared</w:t>
      </w:r>
      <w:r>
        <w:t xml:space="preserve"> </w:t>
      </w:r>
      <w:r>
        <w:t xml:space="preserve">error-response shape referenced in §3), a small exception base hierarchy every service’s own</w:t>
      </w:r>
      <w:r>
        <w:t xml:space="preserve"> </w:t>
      </w:r>
      <w:r>
        <w:t xml:space="preserve">exceptions extend, and small utilities.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shared infrastructure client with its own auto-wiring</w:t>
      </w:r>
      <w:r>
        <w:t xml:space="preserve">, covered in depth in §5 — an</w:t>
      </w:r>
      <w:r>
        <w:t xml:space="preserve"> </w:t>
      </w:r>
      <w:r>
        <w:t xml:space="preserve">object-storage client is the concrete example in this repository, but the mechanism applies to</w:t>
      </w:r>
      <w:r>
        <w:t xml:space="preserve"> </w:t>
      </w:r>
      <w:r>
        <w:t xml:space="preserve">any cross-cutting infrastructure concern (a notification client, a feature-flag client, etc.).</w:t>
      </w:r>
    </w:p>
    <w:p>
      <w:pPr>
        <w:pStyle w:val="FirstParagraph"/>
      </w:pPr>
      <w:r>
        <w:rPr>
          <w:b/>
          <w:bCs/>
        </w:rPr>
        <w:t xml:space="preserve">The discipline that keeps this safe:</w:t>
      </w:r>
      <w:r>
        <w:t xml:space="preserve"> </w:t>
      </w:r>
      <w:r>
        <w:t xml:space="preserve">nothing service-specific ever goes in here. No entity</w:t>
      </w:r>
      <w:r>
        <w:t xml:space="preserve"> </w:t>
      </w:r>
      <w:r>
        <w:t xml:space="preserve">definitions, no service-specific DTOs, no business rules. The moment a</w:t>
      </w:r>
      <w:r>
        <w:t xml:space="preserve"> </w:t>
      </w:r>
      <w:r>
        <w:t xml:space="preserve">“shared”</w:t>
      </w:r>
      <w:r>
        <w:t xml:space="preserve"> </w:t>
      </w:r>
      <w:r>
        <w:t xml:space="preserve">domain class</w:t>
      </w:r>
      <w:r>
        <w:t xml:space="preserve"> </w:t>
      </w:r>
      <w:r>
        <w:t xml:space="preserve">appears in</w:t>
      </w:r>
      <w:r>
        <w:t xml:space="preserve"> </w:t>
      </w:r>
      <w:r>
        <w:rPr>
          <w:rStyle w:val="VerbatimChar"/>
        </w:rPr>
        <w:t xml:space="preserve">common-library</w:t>
      </w:r>
      <w:r>
        <w:t xml:space="preserve">, changes to it start rippling across services that are supposed to</w:t>
      </w:r>
      <w:r>
        <w:t xml:space="preserve"> </w:t>
      </w:r>
      <w:r>
        <w:t xml:space="preserve">deploy independently — which quietly recreates a distributed monolith under the appearance of</w:t>
      </w:r>
      <w:r>
        <w:t xml:space="preserve"> </w:t>
      </w:r>
      <w:r>
        <w:t xml:space="preserve">microservices.</w:t>
      </w:r>
      <w:r>
        <w:t xml:space="preserve"> </w:t>
      </w:r>
      <w:r>
        <w:rPr>
          <w:rStyle w:val="VerbatimChar"/>
        </w:rPr>
        <w:t xml:space="preserve">common-library</w:t>
      </w:r>
      <w:r>
        <w:t xml:space="preserve"> </w:t>
      </w:r>
      <w:r>
        <w:t xml:space="preserve">earns its place by being genuinely identical for every consumer,</w:t>
      </w:r>
      <w:r>
        <w:t xml:space="preserve"> </w:t>
      </w:r>
      <w:r>
        <w:t xml:space="preserve">not by being</w:t>
      </w:r>
      <w:r>
        <w:t xml:space="preserve"> </w:t>
      </w:r>
      <w:r>
        <w:t xml:space="preserve">“stuff more than one service happens to need right now.”</w:t>
      </w:r>
    </w:p>
    <w:p>
      <w:r>
        <w:pict>
          <v:rect style="width:0;height:1.5pt" o:hralign="center" o:hrstd="t" o:hr="t"/>
        </w:pict>
      </w:r>
    </w:p>
    <w:bookmarkEnd w:id="13"/>
    <w:bookmarkStart w:id="14" w:name="Xd9534330f42ca96fda5c792e7d81d2a0cc0dd5c"/>
    <w:p>
      <w:pPr>
        <w:pStyle w:val="Heading2"/>
      </w:pPr>
      <w:r>
        <w:t xml:space="preserve">5. Hexagonal architecture — ports and adapters, without a multi-module split</w:t>
      </w:r>
    </w:p>
    <w:p>
      <w:pPr>
        <w:pStyle w:val="FirstParagraph"/>
      </w:pPr>
      <w:r>
        <w:t xml:space="preserve">The repository’s packages are flat (</w:t>
      </w:r>
      <w:r>
        <w:rPr>
          <w:rStyle w:val="VerbatimChar"/>
        </w:rPr>
        <w:t xml:space="preserve">controller/dto/entity/exception/mapper/repository/service</w:t>
      </w:r>
      <w:r>
        <w:t xml:space="preserve">)</w:t>
      </w:r>
      <w:r>
        <w:t xml:space="preserve"> </w:t>
      </w:r>
      <w:r>
        <w:t xml:space="preserve">rather than split into</w:t>
      </w:r>
      <w:r>
        <w:t xml:space="preserve"> </w:t>
      </w:r>
      <w:r>
        <w:rPr>
          <w:rStyle w:val="VerbatimChar"/>
        </w:rPr>
        <w:t xml:space="preserve">domain/application/infrastructure</w:t>
      </w:r>
      <w:r>
        <w:t xml:space="preserve"> </w:t>
      </w:r>
      <w:r>
        <w:t xml:space="preserve">modules — but the</w:t>
      </w:r>
      <w:r>
        <w:t xml:space="preserve"> </w:t>
      </w:r>
      <w:r>
        <w:rPr>
          <w:i/>
          <w:iCs/>
        </w:rPr>
        <w:t xml:space="preserve">hexagonal</w:t>
      </w:r>
      <w:r>
        <w:rPr>
          <w:i/>
          <w:iCs/>
        </w:rPr>
        <w:t xml:space="preserve"> </w:t>
      </w:r>
      <w:r>
        <w:rPr>
          <w:i/>
          <w:iCs/>
        </w:rPr>
        <w:t xml:space="preserve">principle</w:t>
      </w:r>
      <w:r>
        <w:t xml:space="preserve"> </w:t>
      </w:r>
      <w:r>
        <w:t xml:space="preserve">(business logic depends only on interfaces it defines; infrastructure depends on</w:t>
      </w:r>
      <w:r>
        <w:t xml:space="preserve"> </w:t>
      </w:r>
      <w:r>
        <w:t xml:space="preserve">business logic, never the reverse) is still fully in force, enforced by package convention plus</w:t>
      </w:r>
      <w:r>
        <w:t xml:space="preserve"> </w:t>
      </w:r>
      <w:r>
        <w:t xml:space="preserve">ArchUnit (§8) instead of by module boundaries:</w:t>
      </w:r>
    </w:p>
    <w:p>
      <w:pPr>
        <w:pStyle w:val="SourceCode"/>
      </w:pPr>
      <w:r>
        <w:rPr>
          <w:rStyle w:val="VerbatimChar"/>
        </w:rPr>
        <w:t xml:space="preserve">    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inbound adapters  │                              │  outbound adapters</w:t>
      </w:r>
      <w:r>
        <w:br/>
      </w:r>
      <w:r>
        <w:rPr>
          <w:rStyle w:val="VerbatimChar"/>
        </w:rPr>
        <w:t xml:space="preserve">   ───────────────►  │      service/  (the core)     │  ◄───────────────</w:t>
      </w:r>
      <w:r>
        <w:br/>
      </w:r>
      <w:r>
        <w:rPr>
          <w:rStyle w:val="VerbatimChar"/>
        </w:rPr>
        <w:t xml:space="preserve">                     │                              │</w:t>
      </w:r>
      <w:r>
        <w:br/>
      </w:r>
      <w:r>
        <w:rPr>
          <w:rStyle w:val="VerbatimChar"/>
        </w:rPr>
        <w:t xml:space="preserve">   REST controller    │  business logic here, talking  │   JPA repository</w:t>
      </w:r>
      <w:r>
        <w:br/>
      </w:r>
      <w:r>
        <w:rPr>
          <w:rStyle w:val="VerbatimChar"/>
        </w:rPr>
        <w:t xml:space="preserve">   gRPC server class  │  only to interfaces it owns    │   (Spring Data-generated)</w:t>
      </w:r>
      <w:r>
        <w:br/>
      </w:r>
      <w:r>
        <w:rPr>
          <w:rStyle w:val="VerbatimChar"/>
        </w:rPr>
        <w:t xml:space="preserve">   Kafka @KafkaListener│                              │   ObjectStorageClient impl</w:t>
      </w:r>
      <w:r>
        <w:br/>
      </w:r>
      <w:r>
        <w:rPr>
          <w:rStyle w:val="VerbatimChar"/>
        </w:rPr>
        <w:t xml:space="preserve">                     │                              │   KafkaTemplate (producer)</w:t>
      </w:r>
      <w:r>
        <w:br/>
      </w:r>
      <w:r>
        <w:rPr>
          <w:rStyle w:val="VerbatimChar"/>
        </w:rPr>
        <w:t xml:space="preserve">              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entity/  — the domain model itself</w:t>
      </w:r>
    </w:p>
    <w:p>
      <w:pPr>
        <w:pStyle w:val="FirstParagraph"/>
      </w:pPr>
      <w:r>
        <w:rPr>
          <w:b/>
          <w:bCs/>
        </w:rPr>
        <w:t xml:space="preserve">Inbound ports</w:t>
      </w:r>
      <w:r>
        <w:t xml:space="preserve"> </w:t>
      </w:r>
      <w:r>
        <w:t xml:space="preserve">are the entry points</w:t>
      </w:r>
      <w:r>
        <w:t xml:space="preserve"> </w:t>
      </w:r>
      <w:r>
        <w:rPr>
          <w:i/>
          <w:iCs/>
        </w:rPr>
        <w:t xml:space="preserve">into</w:t>
      </w:r>
      <w:r>
        <w:t xml:space="preserve"> </w:t>
      </w:r>
      <w:r>
        <w:t xml:space="preserve">the service — a REST controller method, a gRPC</w:t>
      </w:r>
      <w:r>
        <w:t xml:space="preserve"> </w:t>
      </w:r>
      <w:r>
        <w:rPr>
          <w:rStyle w:val="VerbatimChar"/>
        </w:rPr>
        <w:t xml:space="preserve">ImplBase</w:t>
      </w:r>
      <w:r>
        <w:t xml:space="preserve"> </w:t>
      </w:r>
      <w:r>
        <w:t xml:space="preserve">override, a</w:t>
      </w:r>
      <w:r>
        <w:t xml:space="preserve"> </w:t>
      </w:r>
      <w:r>
        <w:rPr>
          <w:rStyle w:val="VerbatimChar"/>
        </w:rPr>
        <w:t xml:space="preserve">@KafkaListener</w:t>
      </w:r>
      <w:r>
        <w:t xml:space="preserve"> </w:t>
      </w:r>
      <w:r>
        <w:t xml:space="preserve">method. All three are just different transports calling</w:t>
      </w:r>
      <w:r>
        <w:t xml:space="preserve"> </w:t>
      </w:r>
      <w:r>
        <w:t xml:space="preserve">the same kind of thing: a method on a class in</w:t>
      </w:r>
      <w:r>
        <w:t xml:space="preserve"> </w:t>
      </w:r>
      <w:r>
        <w:rPr>
          <w:rStyle w:val="VerbatimChar"/>
        </w:rPr>
        <w:t xml:space="preserve">service/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Outbound ports</w:t>
      </w:r>
      <w:r>
        <w:t xml:space="preserve"> </w:t>
      </w:r>
      <w:r>
        <w:t xml:space="preserve">are interfaces the business logic depends on, never a concrete implementation</w:t>
      </w:r>
      <w:r>
        <w:t xml:space="preserve"> </w:t>
      </w:r>
      <w:r>
        <w:t xml:space="preserve">directly:</w:t>
      </w:r>
      <w:r>
        <w:t xml:space="preserve"> </w:t>
      </w:r>
      <w:r>
        <w:rPr>
          <w:rStyle w:val="VerbatimChar"/>
        </w:rPr>
        <w:t xml:space="preserve">UploadRepository extends JpaRepository&lt;Upload, UUID&gt;</w:t>
      </w:r>
      <w:r>
        <w:t xml:space="preserve"> </w:t>
      </w:r>
      <w:r>
        <w:t xml:space="preserve">is an outbound port (the</w:t>
      </w:r>
      <w:r>
        <w:t xml:space="preserve"> </w:t>
      </w:r>
      <w:r>
        <w:t xml:space="preserve">business logic calls</w:t>
      </w:r>
      <w:r>
        <w:t xml:space="preserve"> </w:t>
      </w:r>
      <w:r>
        <w:rPr>
          <w:rStyle w:val="VerbatimChar"/>
        </w:rPr>
        <w:t xml:space="preserve">.save()</w:t>
      </w:r>
      <w:r>
        <w:t xml:space="preserve">/</w:t>
      </w:r>
      <w:r>
        <w:rPr>
          <w:rStyle w:val="VerbatimChar"/>
        </w:rPr>
        <w:t xml:space="preserve">.findById()</w:t>
      </w:r>
      <w:r>
        <w:t xml:space="preserve"> </w:t>
      </w:r>
      <w:r>
        <w:t xml:space="preserve">against an interface; Spring Data generates the real</w:t>
      </w:r>
      <w:r>
        <w:t xml:space="preserve"> </w:t>
      </w:r>
      <w:r>
        <w:t xml:space="preserve">implementation at startup).</w:t>
      </w:r>
      <w:r>
        <w:t xml:space="preserve"> </w:t>
      </w:r>
      <w:r>
        <w:rPr>
          <w:rStyle w:val="VerbatimChar"/>
        </w:rPr>
        <w:t xml:space="preserve">ObjectStorageClient</w:t>
      </w:r>
      <w:r>
        <w:t xml:space="preserve"> </w:t>
      </w:r>
      <w:r>
        <w:t xml:space="preserve">(§6) is the other outbound port in this</w:t>
      </w:r>
      <w:r>
        <w:t xml:space="preserve"> </w:t>
      </w:r>
      <w:r>
        <w:t xml:space="preserve">repository — the business logic calls</w:t>
      </w:r>
      <w:r>
        <w:t xml:space="preserve"> </w:t>
      </w:r>
      <w:r>
        <w:rPr>
          <w:rStyle w:val="VerbatimChar"/>
        </w:rPr>
        <w:t xml:space="preserve">.put()</w:t>
      </w:r>
      <w:r>
        <w:t xml:space="preserve">/</w:t>
      </w:r>
      <w:r>
        <w:rPr>
          <w:rStyle w:val="VerbatimChar"/>
        </w:rPr>
        <w:t xml:space="preserve">.get()</w:t>
      </w:r>
      <w:r>
        <w:t xml:space="preserve">/</w:t>
      </w:r>
      <w:r>
        <w:rPr>
          <w:rStyle w:val="VerbatimChar"/>
        </w:rPr>
        <w:t xml:space="preserve">.presignPut()</w:t>
      </w:r>
      <w:r>
        <w:t xml:space="preserve"> </w:t>
      </w:r>
      <w:r>
        <w:t xml:space="preserve">against an interface it</w:t>
      </w:r>
      <w:r>
        <w:t xml:space="preserve"> </w:t>
      </w:r>
      <w:r>
        <w:t xml:space="preserve">owns, never against a concrete storage SDK class.</w:t>
      </w:r>
    </w:p>
    <w:p>
      <w:pPr>
        <w:pStyle w:val="BodyText"/>
      </w:pPr>
      <w:r>
        <w:rPr>
          <w:b/>
          <w:bCs/>
        </w:rPr>
        <w:t xml:space="preserve">The dependency rule that matters:</w:t>
      </w:r>
      <w:r>
        <w:t xml:space="preserve"> </w:t>
      </w:r>
      <w:r>
        <w:rPr>
          <w:rStyle w:val="VerbatimChar"/>
        </w:rPr>
        <w:t xml:space="preserve">service/</w:t>
      </w:r>
      <w:r>
        <w:t xml:space="preserve"> </w:t>
      </w:r>
      <w:r>
        <w:t xml:space="preserve">classes import</w:t>
      </w:r>
      <w:r>
        <w:t xml:space="preserve"> </w:t>
      </w:r>
      <w:r>
        <w:rPr>
          <w:rStyle w:val="VerbatimChar"/>
        </w:rPr>
        <w:t xml:space="preserve">repository/</w:t>
      </w:r>
      <w:r>
        <w:t xml:space="preserve"> </w:t>
      </w:r>
      <w:r>
        <w:t xml:space="preserve">interfaces and</w:t>
      </w:r>
      <w:r>
        <w:t xml:space="preserve"> </w:t>
      </w:r>
      <w:r>
        <w:rPr>
          <w:rStyle w:val="VerbatimChar"/>
        </w:rPr>
        <w:t xml:space="preserve">common-library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ObjectStorageClient</w:t>
      </w:r>
      <w:r>
        <w:t xml:space="preserve"> </w:t>
      </w:r>
      <w:r>
        <w:t xml:space="preserve">interface — never a concrete Hibernate/JPA class beyond</w:t>
      </w:r>
      <w:r>
        <w:t xml:space="preserve"> </w:t>
      </w:r>
      <w:r>
        <w:t xml:space="preserve">what Spring Data generates, never a concrete AWS-SDK class. Infrastructure depends inward on the</w:t>
      </w:r>
      <w:r>
        <w:t xml:space="preserve"> </w:t>
      </w:r>
      <w:r>
        <w:t xml:space="preserve">business logic’s interfaces; the business logic never depends outward on a specific</w:t>
      </w:r>
      <w:r>
        <w:t xml:space="preserve"> </w:t>
      </w:r>
      <w:r>
        <w:t xml:space="preserve">infrastructure choice. That’s the entire hexagonal principle, realized here without the</w:t>
      </w:r>
      <w:r>
        <w:t xml:space="preserve"> </w:t>
      </w:r>
      <w:r>
        <w:t xml:space="preserve">ceremony of separate Maven modules per layer (the trade-off explained in §8).</w:t>
      </w:r>
    </w:p>
    <w:p>
      <w:r>
        <w:pict>
          <v:rect style="width:0;height:1.5pt" o:hralign="center" o:hrstd="t" o:hr="t"/>
        </w:pict>
      </w:r>
    </w:p>
    <w:bookmarkEnd w:id="14"/>
    <w:bookmarkStart w:id="15" w:name="Xda817ca962d0305c8f077d1c517f336a6a0814c"/>
    <w:p>
      <w:pPr>
        <w:pStyle w:val="Heading2"/>
      </w:pPr>
      <w:r>
        <w:t xml:space="preserve">6. Strategy pattern + dependency inversion: swappable infrastructure behind an interface</w:t>
      </w:r>
    </w:p>
    <w:p>
      <w:pPr>
        <w:pStyle w:val="FirstParagraph"/>
      </w:pPr>
      <w:r>
        <w:t xml:space="preserve">This is the concrete mechanism that makes</w:t>
      </w:r>
      <w:r>
        <w:t xml:space="preserve"> </w:t>
      </w:r>
      <w:r>
        <w:t xml:space="preserve">“change MinIO for a different object store without</w:t>
      </w:r>
      <w:r>
        <w:t xml:space="preserve"> </w:t>
      </w:r>
      <w:r>
        <w:t xml:space="preserve">touching business logic”</w:t>
      </w:r>
      <w:r>
        <w:t xml:space="preserve"> </w:t>
      </w:r>
      <w:r>
        <w:t xml:space="preserve">actually true, not just an aspiration.</w:t>
      </w:r>
    </w:p>
    <w:p>
      <w:pPr>
        <w:pStyle w:val="SourceCode"/>
      </w:pPr>
      <w:r>
        <w:rPr>
          <w:rStyle w:val="VerbatimChar"/>
        </w:rPr>
        <w:t xml:space="preserve">              ┌───────────────────────────┐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 ObjectStorageClient       │   ← interface, owned by common-library,</w:t>
      </w:r>
      <w:r>
        <w:br/>
      </w:r>
      <w:r>
        <w:rPr>
          <w:rStyle w:val="VerbatimChar"/>
        </w:rPr>
        <w:t xml:space="preserve">              │   (interface)               │      imported by every service's business logic</w:t>
      </w:r>
      <w:r>
        <w:br/>
      </w:r>
      <w:r>
        <w:rPr>
          <w:rStyle w:val="VerbatimChar"/>
        </w:rPr>
        <w:t xml:space="preserve">              ├───────────────────────────┤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│ + put(key, data, ...)       │</w:t>
      </w:r>
      <w:r>
        <w:br/>
      </w:r>
      <w:r>
        <w:rPr>
          <w:rStyle w:val="VerbatimChar"/>
        </w:rPr>
        <w:t xml:space="preserve">              │ + get(key)                  │</w:t>
      </w:r>
      <w:r>
        <w:br/>
      </w:r>
      <w:r>
        <w:rPr>
          <w:rStyle w:val="VerbatimChar"/>
        </w:rPr>
        <w:t xml:space="preserve">              │ + presignPut(key, ...)      │</w:t>
      </w:r>
      <w:r>
        <w:br/>
      </w:r>
      <w:r>
        <w:rPr>
          <w:rStyle w:val="VerbatimChar"/>
        </w:rPr>
        <w:t xml:space="preserve">              │ + exists(key)               │</w:t>
      </w:r>
      <w:r>
        <w:br/>
      </w:r>
      <w:r>
        <w:rPr>
          <w:rStyle w:val="VerbatimChar"/>
        </w:rPr>
        <w:t xml:space="preserve">              └───────────▲───────────────┘</w:t>
      </w:r>
      <w:r>
        <w:br/>
      </w:r>
      <w:r>
        <w:rPr>
          <w:rStyle w:val="VerbatimChar"/>
        </w:rPr>
        <w:t xml:space="preserve">                          │ implements</w:t>
      </w:r>
      <w:r>
        <w:br/>
      </w:r>
      <w:r>
        <w:rPr>
          <w:rStyle w:val="VerbatimChar"/>
        </w:rPr>
        <w:t xml:space="preserve">              ┌───────────┴───────────────┐</w:t>
      </w:r>
      <w:r>
        <w:br/>
      </w:r>
      <w:r>
        <w:rPr>
          <w:rStyle w:val="VerbatimChar"/>
        </w:rPr>
        <w:t xml:space="preserve">              │  S3ObjectStorageClient      │   ← the ONLY class that knows this is MinIO/S3</w:t>
      </w:r>
      <w:r>
        <w:br/>
      </w:r>
      <w:r>
        <w:rPr>
          <w:rStyle w:val="VerbatimChar"/>
        </w:rPr>
        <w:t xml:space="preserve">              │  (concrete implementation)  │      (uses the AWS SDK's S3Client/S3Presigner)</w:t>
      </w:r>
      <w:r>
        <w:br/>
      </w:r>
      <w:r>
        <w:rPr>
          <w:rStyle w:val="VerbatimChar"/>
        </w:rPr>
        <w:t xml:space="preserve">              └───────────────────────────┘</w:t>
      </w:r>
    </w:p>
    <w:p>
      <w:pPr>
        <w:pStyle w:val="FirstParagraph"/>
      </w:pPr>
      <w:r>
        <w:t xml:space="preserve">Business logic (</w:t>
      </w:r>
      <w:r>
        <w:rPr>
          <w:rStyle w:val="VerbatimChar"/>
        </w:rPr>
        <w:t xml:space="preserve">UploadService</w:t>
      </w:r>
      <w:r>
        <w:t xml:space="preserve">) is constructed with the</w:t>
      </w:r>
      <w:r>
        <w:t xml:space="preserve"> </w:t>
      </w:r>
      <w:r>
        <w:rPr>
          <w:i/>
          <w:iCs/>
        </w:rPr>
        <w:t xml:space="preserve">interface</w:t>
      </w:r>
      <w:r>
        <w:t xml:space="preserve"> </w:t>
      </w:r>
      <w:r>
        <w:t xml:space="preserve">as a constructor parameter: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UploadRepository uploadRepository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ObjectStorageClient objectStorageClient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objectStorageClient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objectStorageClient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It calls</w:t>
      </w:r>
      <w:r>
        <w:t xml:space="preserve"> </w:t>
      </w:r>
      <w:r>
        <w:rPr>
          <w:rStyle w:val="VerbatimChar"/>
        </w:rPr>
        <w:t xml:space="preserve">objectStorageClient.presignPut(...)</w:t>
      </w:r>
      <w:r>
        <w:t xml:space="preserve"> </w:t>
      </w:r>
      <w:r>
        <w:t xml:space="preserve">and has</w:t>
      </w:r>
      <w:r>
        <w:t xml:space="preserve"> </w:t>
      </w:r>
      <w:r>
        <w:rPr>
          <w:b/>
          <w:bCs/>
        </w:rPr>
        <w:t xml:space="preserve">no idea</w:t>
      </w:r>
      <w:r>
        <w:t xml:space="preserve"> </w:t>
      </w:r>
      <w:r>
        <w:t xml:space="preserve">MinIO is on the other end of</w:t>
      </w:r>
      <w:r>
        <w:t xml:space="preserve"> </w:t>
      </w:r>
      <w:r>
        <w:t xml:space="preserve">that call — it could be AWS S3, Google Cloud Storage, Azure Blob Storage, or a local filesystem</w:t>
      </w:r>
      <w:r>
        <w:t xml:space="preserve"> </w:t>
      </w:r>
      <w:r>
        <w:t xml:space="preserve">adapter for tests. Swapping the backend means writing one new class implementing</w:t>
      </w:r>
      <w:r>
        <w:t xml:space="preserve"> </w:t>
      </w:r>
      <w:r>
        <w:rPr>
          <w:rStyle w:val="VerbatimChar"/>
        </w:rPr>
        <w:t xml:space="preserve">ObjectStorageClient</w:t>
      </w:r>
      <w:r>
        <w:t xml:space="preserve"> </w:t>
      </w:r>
      <w:r>
        <w:t xml:space="preserve">and changing which bean gets constructed —</w:t>
      </w:r>
      <w:r>
        <w:t xml:space="preserve"> </w:t>
      </w:r>
      <w:r>
        <w:rPr>
          <w:rStyle w:val="VerbatimChar"/>
        </w:rPr>
        <w:t xml:space="preserve">UploadService</w:t>
      </w:r>
      <w:r>
        <w:t xml:space="preserve"> </w:t>
      </w:r>
      <w:r>
        <w:t xml:space="preserve">doesn’t change</w:t>
      </w:r>
      <w:r>
        <w:t xml:space="preserve"> </w:t>
      </w:r>
      <w:r>
        <w:t xml:space="preserve">by a single line. This is the</w:t>
      </w:r>
      <w:r>
        <w:t xml:space="preserve"> </w:t>
      </w:r>
      <w:r>
        <w:rPr>
          <w:b/>
          <w:bCs/>
        </w:rPr>
        <w:t xml:space="preserve">Dependency Inversion Principle</w:t>
      </w:r>
      <w:r>
        <w:t xml:space="preserve"> </w:t>
      </w:r>
      <w:r>
        <w:t xml:space="preserve">(business logic depends on an</w:t>
      </w:r>
      <w:r>
        <w:t xml:space="preserve"> </w:t>
      </w:r>
      <w:r>
        <w:t xml:space="preserve">abstraction it owns, not on a concrete infrastructure library) combined with the</w:t>
      </w:r>
      <w:r>
        <w:t xml:space="preserve"> </w:t>
      </w:r>
      <w:r>
        <w:rPr>
          <w:b/>
          <w:bCs/>
        </w:rPr>
        <w:t xml:space="preserve">strategy</w:t>
      </w:r>
      <w:r>
        <w:rPr>
          <w:b/>
          <w:bCs/>
        </w:rPr>
        <w:t xml:space="preserve"> </w:t>
      </w:r>
      <w:r>
        <w:rPr>
          <w:b/>
          <w:bCs/>
        </w:rPr>
        <w:t xml:space="preserve">pattern</w:t>
      </w:r>
      <w:r>
        <w:t xml:space="preserve"> </w:t>
      </w:r>
      <w:r>
        <w:t xml:space="preserve">(the concrete implementation is a swappable strategy selected at configuration time,</w:t>
      </w:r>
      <w:r>
        <w:t xml:space="preserve"> </w:t>
      </w:r>
      <w:r>
        <w:t xml:space="preserve">not hard-coded).</w:t>
      </w:r>
    </w:p>
    <w:p>
      <w:pPr>
        <w:pStyle w:val="BodyText"/>
      </w:pPr>
      <w:r>
        <w:t xml:space="preserve">Spring’s dependency injection is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 swap happens without a factory or a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anywhere:</w:t>
      </w:r>
      <w:r>
        <w:t xml:space="preserve"> </w:t>
      </w:r>
      <w:r>
        <w:rPr>
          <w:rStyle w:val="VerbatimChar"/>
        </w:rPr>
        <w:t xml:space="preserve">common-library</w:t>
      </w:r>
      <w:r>
        <w:t xml:space="preserve"> </w:t>
      </w:r>
      <w:r>
        <w:t xml:space="preserve">ships an</w:t>
      </w:r>
      <w:r>
        <w:t xml:space="preserve"> </w:t>
      </w:r>
      <w:r>
        <w:rPr>
          <w:rStyle w:val="VerbatimChar"/>
        </w:rPr>
        <w:t xml:space="preserve">@AutoConfiguration</w:t>
      </w:r>
      <w:r>
        <w:t xml:space="preserve"> </w:t>
      </w:r>
      <w:r>
        <w:t xml:space="preserve">class that builds the concrete</w:t>
      </w:r>
      <w:r>
        <w:t xml:space="preserve"> </w:t>
      </w:r>
      <w:r>
        <w:rPr>
          <w:rStyle w:val="VerbatimChar"/>
        </w:rPr>
        <w:t xml:space="preserve">S3ObjectStorageClient</w:t>
      </w:r>
      <w:r>
        <w:t xml:space="preserve"> </w:t>
      </w:r>
      <w:r>
        <w:t xml:space="preserve">and exposes it as the</w:t>
      </w:r>
      <w:r>
        <w:t xml:space="preserve"> </w:t>
      </w:r>
      <w:r>
        <w:rPr>
          <w:rStyle w:val="VerbatimChar"/>
        </w:rPr>
        <w:t xml:space="preserve">ObjectStorageClient</w:t>
      </w:r>
      <w:r>
        <w:t xml:space="preserve"> </w:t>
      </w:r>
      <w:r>
        <w:t xml:space="preserve">bean, gated by</w:t>
      </w:r>
      <w:r>
        <w:t xml:space="preserve"> </w:t>
      </w:r>
      <w:r>
        <w:rPr>
          <w:rStyle w:val="VerbatimChar"/>
        </w:rPr>
        <w:t xml:space="preserve">@ConditionalOnProperty</w:t>
      </w:r>
      <w:r>
        <w:t xml:space="preserve"> </w:t>
      </w:r>
      <w:r>
        <w:t xml:space="preserve">so it only activates for services that actually configure</w:t>
      </w:r>
      <w:r>
        <w:t xml:space="preserve"> </w:t>
      </w:r>
      <w:r>
        <w:rPr>
          <w:rStyle w:val="VerbatimChar"/>
        </w:rPr>
        <w:t xml:space="preserve">insight.storage.*</w:t>
      </w:r>
      <w:r>
        <w:t xml:space="preserve">. If a second implementation existed (say, a</w:t>
      </w:r>
      <w:r>
        <w:t xml:space="preserve"> </w:t>
      </w:r>
      <w:r>
        <w:rPr>
          <w:rStyle w:val="VerbatimChar"/>
        </w:rPr>
        <w:t xml:space="preserve">GcsObjectStorageClient</w:t>
      </w:r>
      <w:r>
        <w:t xml:space="preserve">), the</w:t>
      </w:r>
      <w:r>
        <w:t xml:space="preserve"> </w:t>
      </w:r>
      <w:r>
        <w:t xml:space="preserve">choice of which one wins would be a configuration-time decision (a Spring profile, a different</w:t>
      </w:r>
      <w:r>
        <w:t xml:space="preserve"> </w:t>
      </w:r>
      <w:r>
        <w:t xml:space="preserve">property value), never a code change in any service.</w:t>
      </w:r>
    </w:p>
    <w:p>
      <w:pPr>
        <w:pStyle w:val="BodyText"/>
      </w:pPr>
      <w:r>
        <w:rPr>
          <w:b/>
          <w:bCs/>
        </w:rPr>
        <w:t xml:space="preserve">The same pattern appears a second time, at a different seam:</w:t>
      </w:r>
      <w:r>
        <w:t xml:space="preserve"> </w:t>
      </w:r>
      <w:r>
        <w:rPr>
          <w:rStyle w:val="VerbatimChar"/>
        </w:rPr>
        <w:t xml:space="preserve">transformation-service</w:t>
      </w:r>
      <w:r>
        <w:t xml:space="preserve"> </w:t>
      </w:r>
      <w:r>
        <w:t xml:space="preserve">defines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FileProcessorStrategy</w:t>
      </w:r>
      <w:r>
        <w:t xml:space="preserve"> </w:t>
      </w:r>
      <w:r>
        <w:t xml:space="preserve">interface with one implementation per file type (CSV/Excel/JSON). Every</w:t>
      </w:r>
      <w:r>
        <w:t xml:space="preserve"> </w:t>
      </w:r>
      <w:r>
        <w:t xml:space="preserve">implementation is a plain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; Spring collects all of them into a</w:t>
      </w:r>
      <w:r>
        <w:t xml:space="preserve"> </w:t>
      </w:r>
      <w:r>
        <w:rPr>
          <w:rStyle w:val="VerbatimChar"/>
        </w:rPr>
        <w:t xml:space="preserve">List&lt;FileProcessorStrategy&gt;</w:t>
      </w:r>
      <w:r>
        <w:t xml:space="preserve">, and a small registry class picks the right one at runtime by file</w:t>
      </w:r>
      <w:r>
        <w:t xml:space="preserve"> </w:t>
      </w:r>
      <w:r>
        <w:t xml:space="preserve">type. Onboarding a new file type is</w:t>
      </w:r>
      <w:r>
        <w:t xml:space="preserve"> </w:t>
      </w:r>
      <w:r>
        <w:t xml:space="preserve">“write one new class implementing the interface”</w:t>
      </w:r>
      <w:r>
        <w:t xml:space="preserve"> </w:t>
      </w:r>
      <w:r>
        <w:t xml:space="preserve">— zero</w:t>
      </w:r>
      <w:r>
        <w:t xml:space="preserve"> </w:t>
      </w:r>
      <w:r>
        <w:t xml:space="preserve">changes to the worker that uses it. Same principle (interface owned by the business logic,</w:t>
      </w:r>
      <w:r>
        <w:t xml:space="preserve"> </w:t>
      </w:r>
      <w:r>
        <w:t xml:space="preserve">concrete strategies swappable/extensible), applied to</w:t>
      </w:r>
      <w:r>
        <w:t xml:space="preserve"> </w:t>
      </w:r>
      <w:r>
        <w:t xml:space="preserve">“which parser”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“which storage</w:t>
      </w:r>
      <w:r>
        <w:t xml:space="preserve"> </w:t>
      </w:r>
      <w:r>
        <w:t xml:space="preserve">backend.”</w:t>
      </w:r>
    </w:p>
    <w:p>
      <w:r>
        <w:pict>
          <v:rect style="width:0;height:1.5pt" o:hralign="center" o:hrstd="t" o:hr="t"/>
        </w:pict>
      </w:r>
    </w:p>
    <w:bookmarkEnd w:id="15"/>
    <w:bookmarkStart w:id="17" w:name="how-helm-fits-in"/>
    <w:p>
      <w:pPr>
        <w:pStyle w:val="Heading2"/>
      </w:pPr>
      <w:r>
        <w:t xml:space="preserve">7. How Helm fits in</w:t>
      </w:r>
    </w:p>
    <w:p>
      <w:pPr>
        <w:pStyle w:val="FirstParagraph"/>
      </w:pPr>
      <w:r>
        <w:t xml:space="preserve">One Helm chart per service (</w:t>
      </w:r>
      <w:r>
        <w:rPr>
          <w:rStyle w:val="VerbatimChar"/>
        </w:rPr>
        <w:t xml:space="preserve">helm/&lt;service&gt;/Chart.yaml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values.yaml</w:t>
      </w:r>
      <w:r>
        <w:t xml:space="preserve">), because each service</w:t>
      </w:r>
      <w:r>
        <w:t xml:space="preserve"> </w:t>
      </w:r>
      <w:r>
        <w:t xml:space="preserve">scales, deploys, and gets rolled back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— that’s the entire point of the</w:t>
      </w:r>
      <w:r>
        <w:t xml:space="preserve"> </w:t>
      </w:r>
      <w:r>
        <w:t xml:space="preserve">one-module-one-deployable structure from §1.</w:t>
      </w:r>
      <w:r>
        <w:t xml:space="preserve"> </w:t>
      </w:r>
      <w:r>
        <w:rPr>
          <w:rStyle w:val="VerbatimChar"/>
        </w:rPr>
        <w:t xml:space="preserve">values.yaml</w:t>
      </w:r>
      <w:r>
        <w:t xml:space="preserve"> </w:t>
      </w:r>
      <w:r>
        <w:t xml:space="preserve">per service captures exactly the</w:t>
      </w:r>
      <w:r>
        <w:t xml:space="preserve"> </w:t>
      </w:r>
      <w:r>
        <w:t xml:space="preserve">things that differ per environment (replica count, resource requests/limits, image tag,</w:t>
      </w:r>
      <w:r>
        <w:t xml:space="preserve"> </w:t>
      </w:r>
      <w:r>
        <w:t xml:space="preserve">autoscaling thresholds) — the same chart is used for dev/staging/prod, with a different values</w:t>
      </w:r>
      <w:r>
        <w:t xml:space="preserve"> </w:t>
      </w:r>
      <w:r>
        <w:t xml:space="preserve">file (or</w:t>
      </w:r>
      <w:r>
        <w:t xml:space="preserve"> </w:t>
      </w:r>
      <w:r>
        <w:rPr>
          <w:rStyle w:val="VerbatimChar"/>
        </w:rPr>
        <w:t xml:space="preserve">--set</w:t>
      </w:r>
      <w:r>
        <w:t xml:space="preserve"> </w:t>
      </w:r>
      <w:r>
        <w:t xml:space="preserve">overrides) per environment, rather than separate charts per environment. This is</w:t>
      </w:r>
      <w:r>
        <w:t xml:space="preserve"> </w:t>
      </w:r>
      <w:r>
        <w:t xml:space="preserve">also where environment-specific configuration (§9) ultimately gets injected as environment</w:t>
      </w:r>
      <w:r>
        <w:t xml:space="preserve"> </w:t>
      </w:r>
      <w:r>
        <w:t xml:space="preserve">variables or mounted config into each pod, overriding whatever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sets as a</w:t>
      </w:r>
      <w:r>
        <w:t xml:space="preserve"> </w:t>
      </w:r>
      <w:r>
        <w:t xml:space="preserve">default.</w:t>
      </w:r>
    </w:p>
    <w:bookmarkStart w:id="16" w:name="Xf808f113eea35e56ac58d7ba04e53b354c90a07"/>
    <w:p>
      <w:pPr>
        <w:pStyle w:val="Heading3"/>
      </w:pPr>
      <w:r>
        <w:t xml:space="preserve">7.0 Multiple environments — the chart doesn’t change, the values do</w:t>
      </w:r>
    </w:p>
    <w:p>
      <w:pPr>
        <w:pStyle w:val="FirstParagraph"/>
      </w:pPr>
      <w:r>
        <w:t xml:space="preserve">The chart’s templates never fork per environment. What changes is a values</w:t>
      </w:r>
      <w:r>
        <w:t xml:space="preserve"> </w:t>
      </w:r>
      <w:r>
        <w:rPr>
          <w:i/>
          <w:iCs/>
        </w:rPr>
        <w:t xml:space="preserve">overlay</w:t>
      </w:r>
      <w:r>
        <w:t xml:space="preserve">: keep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values.yaml</w:t>
      </w:r>
      <w:r>
        <w:t xml:space="preserve"> </w:t>
      </w:r>
      <w:r>
        <w:t xml:space="preserve">as the set of sane defaults, and add one small file per environment next</w:t>
      </w:r>
      <w:r>
        <w:t xml:space="preserve"> </w:t>
      </w:r>
      <w:r>
        <w:t xml:space="preserve">to it —</w:t>
      </w:r>
      <w:r>
        <w:t xml:space="preserve"> </w:t>
      </w:r>
      <w:r>
        <w:rPr>
          <w:rStyle w:val="VerbatimChar"/>
        </w:rPr>
        <w:t xml:space="preserve">values-dev.yaml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values-staging.yaml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values-prod.yaml</w:t>
      </w:r>
      <w:r>
        <w:t xml:space="preserve"> </w:t>
      </w:r>
      <w:r>
        <w:t xml:space="preserve">— each overriding only what</w:t>
      </w:r>
      <w:r>
        <w:t xml:space="preserve"> </w:t>
      </w:r>
      <w:r>
        <w:t xml:space="preserve">actually differs there (replica count, resource limits, autoscaling min/max, image tag, and</w:t>
      </w:r>
      <w:r>
        <w:t xml:space="preserve"> </w:t>
      </w:r>
      <w:r>
        <w:t xml:space="preserve">environment-specific config such as datasource URLs or Kafka brokers, which in a real environment</w:t>
      </w:r>
      <w:r>
        <w:t xml:space="preserve"> </w:t>
      </w:r>
      <w:r>
        <w:t xml:space="preserve">are references into that environment’s secret store, not literal values). Deploying becomes</w:t>
      </w:r>
      <w:r>
        <w:t xml:space="preserve"> </w:t>
      </w:r>
      <w:r>
        <w:t xml:space="preserve">layering the two files together:</w:t>
      </w:r>
    </w:p>
    <w:p>
      <w:pPr>
        <w:pStyle w:val="SourceCode"/>
      </w:pPr>
      <w:r>
        <w:rPr>
          <w:rStyle w:val="ExtensionTok"/>
        </w:rPr>
        <w:t xml:space="preserve">helm</w:t>
      </w:r>
      <w:r>
        <w:rPr>
          <w:rStyle w:val="NormalTok"/>
        </w:rPr>
        <w:t xml:space="preserve"> upgrade </w:t>
      </w:r>
      <w:r>
        <w:rPr>
          <w:rStyle w:val="AttributeTok"/>
        </w:rPr>
        <w:t xml:space="preserve">--install</w:t>
      </w:r>
      <w:r>
        <w:rPr>
          <w:rStyle w:val="NormalTok"/>
        </w:rPr>
        <w:t xml:space="preserve"> upload-service helm/upload-service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helm/upload-service/values.yaml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helm/upload-service/values-prod.yaml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platform-prod</w:t>
      </w:r>
    </w:p>
    <w:p>
      <w:pPr>
        <w:pStyle w:val="FirstParagraph"/>
      </w:pPr>
      <w:r>
        <w:t xml:space="preserve">Paired with one Kubernetes namespace per environment (</w:t>
      </w:r>
      <w:r>
        <w:rPr>
          <w:rStyle w:val="VerbatimChar"/>
        </w:rPr>
        <w:t xml:space="preserve">platform-dev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platform-staging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platform-prod</w:t>
      </w:r>
      <w:r>
        <w:t xml:space="preserve">), so the same release name can exist independently in each without colliding.</w:t>
      </w:r>
      <w:r>
        <w:t xml:space="preserve"> </w:t>
      </w:r>
      <w:r>
        <w:rPr>
          <w:rStyle w:val="VerbatimChar"/>
        </w:rPr>
        <w:t xml:space="preserve">scripts/deploy.sh</w:t>
      </w:r>
      <w:r>
        <w:t xml:space="preserve"> </w:t>
      </w:r>
      <w:r>
        <w:t xml:space="preserve">already takes</w:t>
      </w:r>
      <w:r>
        <w:t xml:space="preserve"> </w:t>
      </w:r>
      <w:r>
        <w:rPr>
          <w:rStyle w:val="VerbatimChar"/>
        </w:rPr>
        <w:t xml:space="preserve">NAMESPACE</w:t>
      </w:r>
      <w:r>
        <w:t xml:space="preserve"> </w:t>
      </w:r>
      <w:r>
        <w:t xml:space="preserve">as a parameter (§7.1) — supporting multiple</w:t>
      </w:r>
      <w:r>
        <w:t xml:space="preserve"> </w:t>
      </w:r>
      <w:r>
        <w:t xml:space="preserve">environments is a small extension of that (add the</w:t>
      </w:r>
      <w:r>
        <w:t xml:space="preserve"> </w:t>
      </w:r>
      <w:r>
        <w:rPr>
          <w:rStyle w:val="VerbatimChar"/>
        </w:rPr>
        <w:t xml:space="preserve">values-&lt;env&gt;.yaml</w:t>
      </w:r>
      <w:r>
        <w:t xml:space="preserve"> </w:t>
      </w:r>
      <w:r>
        <w:t xml:space="preserve">files, pass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--namespace</w:t>
      </w:r>
      <w:r>
        <w:t xml:space="preserve"> </w:t>
      </w:r>
      <w:r>
        <w:t xml:space="preserve">per environment at deploy time), not a restructure of the chart itself.</w:t>
      </w:r>
    </w:p>
    <w:bookmarkEnd w:id="16"/>
    <w:bookmarkEnd w:id="17"/>
    <w:bookmarkStart w:id="18" w:name="scripts-operational-ergonomics-not-logic"/>
    <w:p>
      <w:pPr>
        <w:pStyle w:val="Heading2"/>
      </w:pPr>
      <w:r>
        <w:t xml:space="preserve">7.1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— operational ergonomics, not logic</w:t>
      </w:r>
    </w:p>
    <w:p>
      <w:pPr>
        <w:pStyle w:val="FirstParagraph"/>
      </w:pPr>
      <w:r>
        <w:t xml:space="preserve">Every script here (</w:t>
      </w:r>
      <w:r>
        <w:rPr>
          <w:rStyle w:val="VerbatimChar"/>
        </w:rPr>
        <w:t xml:space="preserve">build.sh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run.sh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images.sh</w:t>
      </w:r>
      <w:r>
        <w:t xml:space="preserve">) is a thin wrapper —</w:t>
      </w:r>
      <w:r>
        <w:t xml:space="preserve"> </w:t>
      </w:r>
      <w:r>
        <w:t xml:space="preserve">nothing inside them isn’t a plain</w:t>
      </w:r>
      <w:r>
        <w:t xml:space="preserve"> </w:t>
      </w:r>
      <w:r>
        <w:rPr>
          <w:rStyle w:val="VerbatimChar"/>
        </w:rPr>
        <w:t xml:space="preserve">mvn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helm</w:t>
      </w:r>
      <w:r>
        <w:t xml:space="preserve"> </w:t>
      </w:r>
      <w:r>
        <w:t xml:space="preserve">command underneath. Their entire</w:t>
      </w:r>
      <w:r>
        <w:t xml:space="preserve"> </w:t>
      </w:r>
      <w:r>
        <w:t xml:space="preserve">purpose is muscle-memory:</w:t>
      </w:r>
      <w:r>
        <w:t xml:space="preserve"> </w:t>
      </w:r>
      <w:r>
        <w:rPr>
          <w:rStyle w:val="VerbatimChar"/>
        </w:rPr>
        <w:t xml:space="preserve">./scripts/run.sh</w:t>
      </w:r>
      <w:r>
        <w:t xml:space="preserve"> </w:t>
      </w:r>
      <w:r>
        <w:t xml:space="preserve">instead of five separate</w:t>
      </w:r>
      <w:r>
        <w:t xml:space="preserve"> </w:t>
      </w:r>
      <w:r>
        <w:rPr>
          <w:rStyle w:val="VerbatimChar"/>
        </w:rPr>
        <w:t xml:space="preserve">mvn -pl ... spring-boot:run</w:t>
      </w:r>
      <w:r>
        <w:t xml:space="preserve"> </w:t>
      </w:r>
      <w:r>
        <w:t xml:space="preserve">invocations remembered by hand. They intentionally contain zero business or deployment logic that</w:t>
      </w:r>
      <w:r>
        <w:t xml:space="preserve"> </w:t>
      </w:r>
      <w:r>
        <w:t xml:space="preserve">isn’t equally expressible as the underlying tool’s own command.</w:t>
      </w:r>
    </w:p>
    <w:bookmarkEnd w:id="18"/>
    <w:bookmarkStart w:id="19" w:name="Xd95f60af88947eec4b444e61e351f42b0bc0e73"/>
    <w:p>
      <w:pPr>
        <w:pStyle w:val="Heading2"/>
      </w:pPr>
      <w:r>
        <w:t xml:space="preserve">7.2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— documentation as a build artifact, not an afterthought</w:t>
      </w:r>
    </w:p>
    <w:p>
      <w:pPr>
        <w:pStyle w:val="FirstParagraph"/>
      </w:pPr>
      <w:r>
        <w:t xml:space="preserve">Structured so each concern has exactly one home: how to run the platform locally, how a specific</w:t>
      </w:r>
      <w:r>
        <w:t xml:space="preserve"> </w:t>
      </w:r>
      <w:r>
        <w:t xml:space="preserve">service’s code works, a running troubleshooting log, and this architecture explanation. The</w:t>
      </w:r>
      <w:r>
        <w:t xml:space="preserve"> </w:t>
      </w:r>
      <w:r>
        <w:t xml:space="preserve">principle mirrors §1’s folder-structure discipline — each doc answers one question, and links to</w:t>
      </w:r>
      <w:r>
        <w:t xml:space="preserve"> </w:t>
      </w:r>
      <w:r>
        <w:t xml:space="preserve">its siblings instead of repeating them.</w:t>
      </w:r>
    </w:p>
    <w:bookmarkEnd w:id="19"/>
    <w:bookmarkStart w:id="20" w:name="infra-local-dev-only-provisioning"/>
    <w:p>
      <w:pPr>
        <w:pStyle w:val="Heading2"/>
      </w:pPr>
      <w:r>
        <w:t xml:space="preserve">7.3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 </w:t>
      </w:r>
      <w:r>
        <w:t xml:space="preserve">— local-dev-only provisioning</w:t>
      </w:r>
    </w:p>
    <w:p>
      <w:pPr>
        <w:pStyle w:val="FirstParagraph"/>
      </w:pPr>
      <w:r>
        <w:t xml:space="preserve">Contains things needed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to bootstrap a local environment from nothing — e.g. a script that</w:t>
      </w:r>
      <w:r>
        <w:t xml:space="preserve"> </w:t>
      </w:r>
      <w:r>
        <w:t xml:space="preserve">creates one database/role per service in a fresh Postgres container. This folder has no</w:t>
      </w:r>
      <w:r>
        <w:t xml:space="preserve"> </w:t>
      </w:r>
      <w:r>
        <w:t xml:space="preserve">equivalent in a deployed environment, where each service’s database already exists, provisioned</w:t>
      </w:r>
      <w:r>
        <w:t xml:space="preserve"> </w:t>
      </w:r>
      <w:r>
        <w:t xml:space="preserve">by whatever infrastructure-as-code owns real environments. Keeping it clearly separate from</w:t>
      </w:r>
      <w:r>
        <w:t xml:space="preserve"> </w:t>
      </w:r>
      <w:r>
        <w:rPr>
          <w:rStyle w:val="VerbatimChar"/>
        </w:rPr>
        <w:t xml:space="preserve">helm/</w:t>
      </w:r>
      <w:r>
        <w:t xml:space="preserve"> </w:t>
      </w:r>
      <w:r>
        <w:t xml:space="preserve">(which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apply to real environments) avoids confusing</w:t>
      </w:r>
      <w:r>
        <w:t xml:space="preserve"> </w:t>
      </w:r>
      <w:r>
        <w:t xml:space="preserve">“how do I get a laptop</w:t>
      </w:r>
      <w:r>
        <w:t xml:space="preserve"> </w:t>
      </w:r>
      <w:r>
        <w:t xml:space="preserve">sandbox running”</w:t>
      </w:r>
      <w:r>
        <w:t xml:space="preserve"> </w:t>
      </w:r>
      <w:r>
        <w:t xml:space="preserve">with</w:t>
      </w:r>
      <w:r>
        <w:t xml:space="preserve"> </w:t>
      </w:r>
      <w:r>
        <w:t xml:space="preserve">“how does this actually deploy.”</w:t>
      </w:r>
    </w:p>
    <w:p>
      <w:r>
        <w:pict>
          <v:rect style="width:0;height:1.5pt" o:hralign="center" o:hrstd="t" o:hr="t"/>
        </w:pict>
      </w:r>
    </w:p>
    <w:bookmarkEnd w:id="20"/>
    <w:bookmarkStart w:id="21" w:name="configuration-management"/>
    <w:p>
      <w:pPr>
        <w:pStyle w:val="Heading2"/>
      </w:pPr>
      <w:r>
        <w:t xml:space="preserve">8. Configuration management</w:t>
      </w:r>
    </w:p>
    <w:p>
      <w:pPr>
        <w:pStyle w:val="FirstParagraph"/>
      </w:pPr>
      <w:r>
        <w:t xml:space="preserve">Every service reads configuration the same way, via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plus Spring’s</w:t>
      </w:r>
      <w:r>
        <w:t xml:space="preserve"> </w:t>
      </w:r>
      <w:r>
        <w:rPr>
          <w:rStyle w:val="VerbatimChar"/>
        </w:rPr>
        <w:t xml:space="preserve">@ConfigurationProperties</w:t>
      </w:r>
      <w:r>
        <w:t xml:space="preserve"> </w:t>
      </w:r>
      <w:r>
        <w:t xml:space="preserve">binding (the mechanism</w:t>
      </w:r>
      <w:r>
        <w:t xml:space="preserve"> </w:t>
      </w:r>
      <w:r>
        <w:rPr>
          <w:rStyle w:val="VerbatimChar"/>
        </w:rPr>
        <w:t xml:space="preserve">ObjectStorageProperties</w:t>
      </w:r>
      <w:r>
        <w:t xml:space="preserve"> </w:t>
      </w:r>
      <w:r>
        <w:t xml:space="preserve">uses, §6):</w:t>
      </w:r>
    </w:p>
    <w:p>
      <w:pPr>
        <w:pStyle w:val="SourceCode"/>
      </w:pPr>
      <w:r>
        <w:rPr>
          <w:rStyle w:val="FunctionTok"/>
        </w:rPr>
        <w:t xml:space="preserve">insight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storage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http://localhost:9000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bucket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platform-uploads</w:t>
      </w:r>
    </w:p>
    <w:p>
      <w:pPr>
        <w:pStyle w:val="FirstParagraph"/>
      </w:pPr>
      <w:r>
        <w:t xml:space="preserve">maps directly onto typed Java fields (</w:t>
      </w:r>
      <w:r>
        <w:rPr>
          <w:rStyle w:val="VerbatimChar"/>
        </w:rPr>
        <w:t xml:space="preserve">getEndpoint()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getBucket()</w:t>
      </w:r>
      <w:r>
        <w:t xml:space="preserve">) — no manual parsing</w:t>
      </w:r>
      <w:r>
        <w:t xml:space="preserve"> </w:t>
      </w:r>
      <w:r>
        <w:t xml:space="preserve">anywhere. Locally,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holds real values (pointing at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’s</w:t>
      </w:r>
      <w:r>
        <w:t xml:space="preserve"> </w:t>
      </w:r>
      <w:r>
        <w:t xml:space="preserve">containers, §10). In a deployed environment, the same key names get overridden by environment</w:t>
      </w:r>
      <w:r>
        <w:t xml:space="preserve"> </w:t>
      </w:r>
      <w:r>
        <w:t xml:space="preserve">variables or mounted config injected via the Helm chart (§7) —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’s values become</w:t>
      </w:r>
      <w:r>
        <w:t xml:space="preserve"> </w:t>
      </w:r>
      <w:r>
        <w:t xml:space="preserve">defaults, not the source of truth in production. Secrets (the storage access key/secret in this</w:t>
      </w:r>
      <w:r>
        <w:t xml:space="preserve"> </w:t>
      </w:r>
      <w:r>
        <w:t xml:space="preserve">repo, database passwords) are placeholder plaintext values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in the local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—</w:t>
      </w:r>
      <w:r>
        <w:t xml:space="preserve"> </w:t>
      </w:r>
      <w:r>
        <w:t xml:space="preserve">in any real environment these would come from a secrets manager or the platform’s native secret</w:t>
      </w:r>
      <w:r>
        <w:t xml:space="preserve"> </w:t>
      </w:r>
      <w:r>
        <w:t xml:space="preserve">store, injected the same way as any other environment override, never committed as real</w:t>
      </w:r>
      <w:r>
        <w:t xml:space="preserve"> </w:t>
      </w:r>
      <w:r>
        <w:t xml:space="preserve">credentials.</w:t>
      </w:r>
    </w:p>
    <w:p>
      <w:r>
        <w:pict>
          <v:rect style="width:0;height:1.5pt" o:hralign="center" o:hrstd="t" o:hr="t"/>
        </w:pict>
      </w:r>
    </w:p>
    <w:bookmarkEnd w:id="21"/>
    <w:bookmarkStart w:id="22" w:name="X64cd14808b105c095ce2f1d03321363c39ff95f"/>
    <w:p>
      <w:pPr>
        <w:pStyle w:val="Heading2"/>
      </w:pPr>
      <w:r>
        <w:t xml:space="preserve">9. What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actually buys you</w:t>
      </w:r>
    </w:p>
    <w:p>
      <w:pPr>
        <w:pStyle w:val="FirstParagraph"/>
      </w:pPr>
      <w:r>
        <w:t xml:space="preserve">One command (</w:t>
      </w:r>
      <w:r>
        <w:rPr>
          <w:rStyle w:val="VerbatimChar"/>
        </w:rPr>
        <w:t xml:space="preserve">docker compose up -d</w:t>
      </w:r>
      <w:r>
        <w:t xml:space="preserve">) reproduces every piece of infrastructure every service</w:t>
      </w:r>
      <w:r>
        <w:t xml:space="preserve"> </w:t>
      </w:r>
      <w:r>
        <w:t xml:space="preserve">needs locally — message broker, per-service databases, object storage — without any engineer</w:t>
      </w:r>
      <w:r>
        <w:t xml:space="preserve"> </w:t>
      </w:r>
      <w:r>
        <w:t xml:space="preserve">hand-installing or hand-configuring any of it. Concretely: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Onboarding speed</w:t>
      </w:r>
      <w:r>
        <w:t xml:space="preserve"> </w:t>
      </w:r>
      <w:r>
        <w:t xml:space="preserve">— a new engineer runs one command instead of following a multi-page setup</w:t>
      </w:r>
      <w:r>
        <w:t xml:space="preserve"> </w:t>
      </w:r>
      <w:r>
        <w:t xml:space="preserve">guide for Kafka/Postgres/object storage individually.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 parity</w:t>
      </w:r>
      <w:r>
        <w:t xml:space="preserve"> </w:t>
      </w:r>
      <w:r>
        <w:t xml:space="preserve">— the same broker/database/storage</w:t>
      </w:r>
      <w:r>
        <w:t xml:space="preserve"> </w:t>
      </w:r>
      <w:r>
        <w:rPr>
          <w:i/>
          <w:iCs/>
        </w:rPr>
        <w:t xml:space="preserve">technology</w:t>
      </w:r>
      <w:r>
        <w:t xml:space="preserve"> </w:t>
      </w:r>
      <w:r>
        <w:t xml:space="preserve">runs locally as in a</w:t>
      </w:r>
      <w:r>
        <w:t xml:space="preserve"> </w:t>
      </w:r>
      <w:r>
        <w:t xml:space="preserve">real environment (Kafka is Kafka, Postgres is Postgres) — the topology is simplified (single</w:t>
      </w:r>
      <w:r>
        <w:t xml:space="preserve"> </w:t>
      </w:r>
      <w:r>
        <w:t xml:space="preserve">broker node, one Postgres instance for all 5 databases) but the interfaces the code talks to</w:t>
      </w:r>
      <w:r>
        <w:t xml:space="preserve"> </w:t>
      </w:r>
      <w:r>
        <w:t xml:space="preserve">are the real ones, not in-memory fakes, so integration bugs surface locally instead of only in</w:t>
      </w:r>
      <w:r>
        <w:t xml:space="preserve"> </w:t>
      </w:r>
      <w:r>
        <w:t xml:space="preserve">a shared environment.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Disposability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docker compose down -v</w:t>
      </w:r>
      <w:r>
        <w:t xml:space="preserve"> </w:t>
      </w:r>
      <w:r>
        <w:t xml:space="preserve">throws away all local state and the next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starts from a guaranteed-clean slate — valuable specifically because the</w:t>
      </w:r>
      <w:r>
        <w:t xml:space="preserve"> </w:t>
      </w:r>
      <w:r>
        <w:t xml:space="preserve">init scripts in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 </w:t>
      </w:r>
      <w:r>
        <w:t xml:space="preserve">(§7.3) only run once, against an empty volume.</w:t>
      </w:r>
    </w:p>
    <w:p>
      <w:r>
        <w:pict>
          <v:rect style="width:0;height:1.5pt" o:hralign="center" o:hrstd="t" o:hr="t"/>
        </w:pict>
      </w:r>
    </w:p>
    <w:bookmarkEnd w:id="22"/>
    <w:bookmarkStart w:id="23" w:name="the-outbox-pattern"/>
    <w:p>
      <w:pPr>
        <w:pStyle w:val="Heading2"/>
      </w:pPr>
      <w:r>
        <w:t xml:space="preserve">10. The outbox pattern</w:t>
      </w:r>
    </w:p>
    <w:p>
      <w:pPr>
        <w:pStyle w:val="FirstParagraph"/>
      </w:pPr>
      <w:r>
        <w:rPr>
          <w:b/>
          <w:bCs/>
        </w:rPr>
        <w:t xml:space="preserve">The problem it solves:</w:t>
      </w:r>
      <w:r>
        <w:t xml:space="preserve"> </w:t>
      </w:r>
      <w:r>
        <w:t xml:space="preserve">a service’s own database and a message broker are two different</w:t>
      </w:r>
      <w:r>
        <w:t xml:space="preserve"> </w:t>
      </w:r>
      <w:r>
        <w:t xml:space="preserve">systems. Nothing makes</w:t>
      </w:r>
      <w:r>
        <w:t xml:space="preserve"> </w:t>
      </w:r>
      <w:r>
        <w:t xml:space="preserve">“commit this database row”</w:t>
      </w:r>
      <w:r>
        <w:t xml:space="preserve"> </w:t>
      </w:r>
      <w:r>
        <w:t xml:space="preserve">and</w:t>
      </w:r>
      <w:r>
        <w:t xml:space="preserve"> </w:t>
      </w:r>
      <w:r>
        <w:t xml:space="preserve">“publish this message”</w:t>
      </w:r>
      <w:r>
        <w:t xml:space="preserve"> </w:t>
      </w:r>
      <w:r>
        <w:t xml:space="preserve">atomic for free. Do</w:t>
      </w:r>
      <w:r>
        <w:t xml:space="preserve"> </w:t>
      </w:r>
      <w:r>
        <w:t xml:space="preserve">them as two separate calls in either order and you risk either a phantom message (the publish</w:t>
      </w:r>
      <w:r>
        <w:t xml:space="preserve"> </w:t>
      </w:r>
      <w:r>
        <w:t xml:space="preserve">succeeds, then the database transaction rolls back) or a silently lost one (the database commits,</w:t>
      </w:r>
      <w:r>
        <w:t xml:space="preserve"> </w:t>
      </w:r>
      <w:r>
        <w:t xml:space="preserve">then the publish fails).</w:t>
      </w:r>
    </w:p>
    <w:p>
      <w:pPr>
        <w:pStyle w:val="BodyText"/>
      </w:pPr>
      <w:r>
        <w:rPr>
          <w:b/>
          <w:bCs/>
        </w:rPr>
        <w:t xml:space="preserve">The mechanism: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 one database transaction ───────────────────────────┐</w:t>
      </w:r>
      <w:r>
        <w:br/>
      </w:r>
      <w:r>
        <w:rPr>
          <w:rStyle w:val="VerbatimChar"/>
        </w:rPr>
        <w:t xml:space="preserve">│  1. INSERT the domain row (e.g. mark a submission accepted)                     │</w:t>
      </w:r>
      <w:r>
        <w:br/>
      </w:r>
      <w:r>
        <w:rPr>
          <w:rStyle w:val="VerbatimChar"/>
        </w:rPr>
        <w:t xml:space="preserve">│  2. INSERT an outbox row: {topic, key, payload, published=false}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│  (both committed together, or neither did)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a separate @Scheduled poller,        │   runs every ~1s</w:t>
      </w:r>
      <w:r>
        <w:br/>
      </w:r>
      <w:r>
        <w:rPr>
          <w:rStyle w:val="VerbatimChar"/>
        </w:rPr>
        <w:t xml:space="preserve">                  │  independent of any request/transaction│</w:t>
      </w:r>
      <w:r>
        <w:br/>
      </w:r>
      <w:r>
        <w:rPr>
          <w:rStyle w:val="VerbatimChar"/>
        </w:rPr>
        <w:t xml:space="preserve">                  └─────────────────┬─────────────────────┘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 SELECT ... WHERE published = false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publish to the message broker,</w:t>
      </w:r>
      <w:r>
        <w:br/>
      </w:r>
      <w:r>
        <w:rPr>
          <w:rStyle w:val="VerbatimChar"/>
        </w:rPr>
        <w:t xml:space="preserve">                     then UPDATE the row: published = true</w:t>
      </w:r>
    </w:p>
    <w:p>
      <w:pPr>
        <w:pStyle w:val="FirstParagraph"/>
      </w:pPr>
      <w:r>
        <w:t xml:space="preserve">The domain write and the</w:t>
      </w:r>
      <w:r>
        <w:t xml:space="preserve"> </w:t>
      </w:r>
      <w:r>
        <w:t xml:space="preserve">“I intend to publish this”</w:t>
      </w:r>
      <w:r>
        <w:t xml:space="preserve"> </w:t>
      </w:r>
      <w:r>
        <w:t xml:space="preserve">write happen in the same transaction — so</w:t>
      </w:r>
      <w:r>
        <w:t xml:space="preserve"> </w:t>
      </w:r>
      <w:r>
        <w:t xml:space="preserve">they’re guaranteed consistent with each other with no special coordination needed. The actual</w:t>
      </w:r>
      <w:r>
        <w:t xml:space="preserve"> </w:t>
      </w:r>
      <w:r>
        <w:t xml:space="preserve">publish happens moments later, by a completely separate piece of code that only ever asks</w:t>
      </w:r>
      <w:r>
        <w:t xml:space="preserve"> </w:t>
      </w:r>
      <w:r>
        <w:t xml:space="preserve">“which</w:t>
      </w:r>
      <w:r>
        <w:t xml:space="preserve"> </w:t>
      </w:r>
      <w:r>
        <w:t xml:space="preserve">outbox rows are unpublished”</w:t>
      </w:r>
      <w:r>
        <w:t xml:space="preserve"> </w:t>
      </w:r>
      <w:r>
        <w:t xml:space="preserve">— if that poller crashes mid-run, the next tick simply finds the same</w:t>
      </w:r>
      <w:r>
        <w:t xml:space="preserve"> </w:t>
      </w:r>
      <w:r>
        <w:t xml:space="preserve">unpublished rows and retries; nothing is lost, and nothing gets double-committed, because the</w:t>
      </w:r>
      <w:r>
        <w:t xml:space="preserve"> </w:t>
      </w:r>
      <w:r>
        <w:t xml:space="preserve">domain-side transaction already fully committed before the poller ever looks at it.</w:t>
      </w:r>
    </w:p>
    <w:p>
      <w:pPr>
        <w:pStyle w:val="BodyText"/>
      </w:pPr>
      <w:r>
        <w:rPr>
          <w:b/>
          <w:bCs/>
        </w:rPr>
        <w:t xml:space="preserve">Trade-off accepted:</w:t>
      </w:r>
      <w:r>
        <w:t xml:space="preserve"> </w:t>
      </w:r>
      <w:r>
        <w:t xml:space="preserve">a small publish delay (bounded by the poller’s interval) in exchange for</w:t>
      </w:r>
      <w:r>
        <w:t xml:space="preserve"> </w:t>
      </w:r>
      <w:r>
        <w:t xml:space="preserve">never losing or fabricating an event relative to what’s actually in the database.</w:t>
      </w:r>
    </w:p>
    <w:p>
      <w:r>
        <w:pict>
          <v:rect style="width:0;height:1.5pt" o:hralign="center" o:hrstd="t" o:hr="t"/>
        </w:pict>
      </w:r>
    </w:p>
    <w:bookmarkEnd w:id="23"/>
    <w:bookmarkStart w:id="24" w:name="X5b4558d03c75ac2f910d817ecb5c3336a126db2"/>
    <w:p>
      <w:pPr>
        <w:pStyle w:val="Heading2"/>
      </w:pPr>
      <w:r>
        <w:t xml:space="preserve">11. How</w:t>
      </w:r>
      <w:r>
        <w:t xml:space="preserve"> </w:t>
      </w:r>
      <w:r>
        <w:rPr>
          <w:rStyle w:val="VerbatimChar"/>
        </w:rPr>
        <w:t xml:space="preserve">architecture-tests</w:t>
      </w:r>
      <w:r>
        <w:t xml:space="preserve"> </w:t>
      </w:r>
      <w:r>
        <w:t xml:space="preserve">enforces strict layering at build time</w:t>
      </w:r>
    </w:p>
    <w:p>
      <w:pPr>
        <w:pStyle w:val="FirstParagraph"/>
      </w:pPr>
      <w:r>
        <w:t xml:space="preserve">Because the packages are flat (§1, §5) rather than split into separate Maven modules, nothing</w:t>
      </w:r>
      <w:r>
        <w:t xml:space="preserve"> </w:t>
      </w:r>
      <w:r>
        <w:t xml:space="preserve">stops a careless change from having a controller call a repository directly —</w:t>
      </w:r>
      <w:r>
        <w:t xml:space="preserve"> </w:t>
      </w:r>
      <w:r>
        <w:rPr>
          <w:i/>
          <w:iCs/>
        </w:rPr>
        <w:t xml:space="preserve">unless</w:t>
      </w:r>
      <w:r>
        <w:t xml:space="preserve"> </w:t>
      </w:r>
      <w:r>
        <w:t xml:space="preserve">something</w:t>
      </w:r>
      <w:r>
        <w:t xml:space="preserve"> </w:t>
      </w:r>
      <w:r>
        <w:t xml:space="preserve">checks for it.</w:t>
      </w:r>
      <w:r>
        <w:t xml:space="preserve"> </w:t>
      </w:r>
      <w:r>
        <w:rPr>
          <w:rStyle w:val="VerbatimChar"/>
        </w:rPr>
        <w:t xml:space="preserve">architecture-tests</w:t>
      </w:r>
      <w:r>
        <w:t xml:space="preserve"> </w:t>
      </w:r>
      <w:r>
        <w:t xml:space="preserve">is that check: a small ArchUnit test suite, run against the</w:t>
      </w:r>
      <w:r>
        <w:t xml:space="preserve"> </w:t>
      </w:r>
      <w:r>
        <w:rPr>
          <w:b/>
          <w:bCs/>
        </w:rPr>
        <w:t xml:space="preserve">compiled classes</w:t>
      </w:r>
      <w:r>
        <w:t xml:space="preserve"> </w:t>
      </w:r>
      <w:r>
        <w:t xml:space="preserve">of every service, as a normal part of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controllersMustNotAccessRepositoriesDirectly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ArchRule 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resideInAPackage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"..controller.."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onlyAccessClassesThat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resideOutsideOfPackage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"..repository.."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@Test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entitiesMustNotBeAccessedFromControllers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ArchRule 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resideInAPackage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"..entity.."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onlyBeAccessed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byClassesThat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resideInAnyPackage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"..entity.."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"..repository.."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"..service.."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"..mapper.."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If someone adds</w:t>
      </w:r>
      <w:r>
        <w:t xml:space="preserve"> </w:t>
      </w:r>
      <w:r>
        <w:rPr>
          <w:rStyle w:val="VerbatimChar"/>
        </w:rPr>
        <w:t xml:space="preserve">uploadRepository.findById(...)</w:t>
      </w:r>
      <w:r>
        <w:t xml:space="preserve"> </w:t>
      </w:r>
      <w:r>
        <w:t xml:space="preserve">directly inside a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 </w:t>
      </w:r>
      <w:r>
        <w:t xml:space="preserve">method</w:t>
      </w:r>
      <w:r>
        <w:t xml:space="preserve"> </w:t>
      </w:r>
      <w:r>
        <w:t xml:space="preserve">tomorrow, this test suite fails the build — not a code review comment that can be missed, an</w:t>
      </w:r>
      <w:r>
        <w:t xml:space="preserve"> </w:t>
      </w:r>
      <w:r>
        <w:t xml:space="preserve">actual red build. This is what lets the repository stay single-module-per-service (§5’s trade-off)</w:t>
      </w:r>
      <w:r>
        <w:t xml:space="preserve"> </w:t>
      </w:r>
      <w:r>
        <w:t xml:space="preserve">without that convenience quietly eroding into a tangle over time: the architectural rule is</w:t>
      </w:r>
      <w:r>
        <w:t xml:space="preserve"> </w:t>
      </w:r>
      <w:r>
        <w:t xml:space="preserve">enforced the same way a unit test enforces correctness — automatically, on every build, for</w:t>
      </w:r>
      <w:r>
        <w:t xml:space="preserve"> </w:t>
      </w:r>
      <w:r>
        <w:t xml:space="preserve">every service, from one shared test suite.</w:t>
      </w:r>
    </w:p>
    <w:p>
      <w:r>
        <w:pict>
          <v:rect style="width:0;height:1.5pt" o:hralign="center" o:hrstd="t" o:hr="t"/>
        </w:pict>
      </w:r>
    </w:p>
    <w:bookmarkEnd w:id="24"/>
    <w:bookmarkStart w:id="25" w:name="Xf6351403f519b122a124b2bdfbc1e0ed2d4b2d5"/>
    <w:p>
      <w:pPr>
        <w:pStyle w:val="Heading2"/>
      </w:pPr>
      <w:r>
        <w:t xml:space="preserve">12. Putting it together: the orchestrator saga, built on the outbox pattern</w:t>
      </w:r>
    </w:p>
    <w:p>
      <w:pPr>
        <w:pStyle w:val="FirstParagraph"/>
      </w:pPr>
      <w:r>
        <w:t xml:space="preserve">Briefly, tying §10 directly to the cross-service coordination problem from the very top of this</w:t>
      </w:r>
      <w:r>
        <w:t xml:space="preserve"> </w:t>
      </w:r>
      <w:r>
        <w:t xml:space="preserve">document:</w:t>
      </w:r>
    </w:p>
    <w:p>
      <w:pPr>
        <w:pStyle w:val="Compact"/>
        <w:numPr>
          <w:ilvl w:val="0"/>
          <w:numId w:val="1003"/>
        </w:numPr>
      </w:pPr>
      <w:r>
        <w:t xml:space="preserve">A service accepts a unit of work, and — in one transaction — persists it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writes an</w:t>
      </w:r>
      <w:r>
        <w:t xml:space="preserve"> </w:t>
      </w:r>
      <w:r>
        <w:t xml:space="preserve">outbox row (§10). The outbox relay publishes that event moments later.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Orchestrator</w:t>
      </w:r>
      <w:r>
        <w:t xml:space="preserve"> </w:t>
      </w:r>
      <w:r>
        <w:t xml:space="preserve">service consumes that event, creates a</w:t>
      </w:r>
      <w:r>
        <w:t xml:space="preserve"> </w:t>
      </w:r>
      <w:r>
        <w:rPr>
          <w:rStyle w:val="VerbatimChar"/>
        </w:rPr>
        <w:t xml:space="preserve">SagaInstance</w:t>
      </w:r>
      <w:r>
        <w:t xml:space="preserve"> </w:t>
      </w:r>
      <w:r>
        <w:t xml:space="preserve">row (its own</w:t>
      </w:r>
      <w:r>
        <w:t xml:space="preserve"> </w:t>
      </w:r>
      <w:r>
        <w:t xml:space="preserve">database, its own transaction — no shared transaction with the service that emitted the</w:t>
      </w:r>
      <w:r>
        <w:t xml:space="preserve"> </w:t>
      </w:r>
      <w:r>
        <w:t xml:space="preserve">event), and dispatches the first processing step via a synchronous, typed call (gRPC) to the</w:t>
      </w:r>
      <w:r>
        <w:t xml:space="preserve"> </w:t>
      </w:r>
      <w:r>
        <w:t xml:space="preserve">relevant processing service.</w:t>
      </w:r>
    </w:p>
    <w:p>
      <w:pPr>
        <w:pStyle w:val="Compact"/>
        <w:numPr>
          <w:ilvl w:val="0"/>
          <w:numId w:val="1003"/>
        </w:numPr>
      </w:pPr>
      <w:r>
        <w:t xml:space="preserve">Each processing service, when it finishes (or fails), publishes its own completion event —</w:t>
      </w:r>
      <w:r>
        <w:t xml:space="preserve"> </w:t>
      </w:r>
      <w:r>
        <w:t xml:space="preserve">again via its own outbox, for the same atomicity guarantee.</w:t>
      </w:r>
    </w:p>
    <w:p>
      <w:pPr>
        <w:pStyle w:val="Compact"/>
        <w:numPr>
          <w:ilvl w:val="0"/>
          <w:numId w:val="1003"/>
        </w:numPr>
      </w:pPr>
      <w:r>
        <w:t xml:space="preserve">The Orchestrator consumes each completion event and advances the saga’s state machine,</w:t>
      </w:r>
      <w:r>
        <w:t xml:space="preserve"> </w:t>
      </w:r>
      <w:r>
        <w:t xml:space="preserve">dispatching the next step (conditionally skipping stages that don’t apply), until the saga</w:t>
      </w:r>
      <w:r>
        <w:t xml:space="preserve"> </w:t>
      </w:r>
      <w:r>
        <w:t xml:space="preserve">reaches a terminal state.</w:t>
      </w:r>
    </w:p>
    <w:p>
      <w:pPr>
        <w:pStyle w:val="FirstParagraph"/>
      </w:pPr>
      <w:r>
        <w:rPr>
          <w:b/>
          <w:bCs/>
        </w:rPr>
        <w:t xml:space="preserve">Trade-offs accepted, explicitly: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Latency vs. correctness</w:t>
      </w:r>
      <w:r>
        <w:t xml:space="preserve"> </w:t>
      </w:r>
      <w:r>
        <w:t xml:space="preserve">— every cross-service step incurs the outbox relay’s polling delay</w:t>
      </w:r>
      <w:r>
        <w:t xml:space="preserve"> </w:t>
      </w:r>
      <w:r>
        <w:t xml:space="preserve">(§10) on top of the actual processing time. Accepted because the alternative (publish directly,</w:t>
      </w:r>
      <w:r>
        <w:t xml:space="preserve"> </w:t>
      </w:r>
      <w:r>
        <w:t xml:space="preserve">no outbox) risks losing or fabricating saga-critical events, which is a worse failure mode than</w:t>
      </w:r>
      <w:r>
        <w:t xml:space="preserve"> </w:t>
      </w:r>
      <w:r>
        <w:t xml:space="preserve">a bounded, small delay.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 coordinator becomes a critical path</w:t>
      </w:r>
      <w:r>
        <w:t xml:space="preserve"> </w:t>
      </w:r>
      <w:r>
        <w:t xml:space="preserve">— the Orchestrator’s availability and throughput now</w:t>
      </w:r>
      <w:r>
        <w:t xml:space="preserve"> </w:t>
      </w:r>
      <w:r>
        <w:t xml:space="preserve">gate the whole pipeline’s progress, which a pure choreography (services reacting directly to</w:t>
      </w:r>
      <w:r>
        <w:t xml:space="preserve"> </w:t>
      </w:r>
      <w:r>
        <w:t xml:space="preserve">each other’s events, no central coordinator) would avoid. Accepted because centralized status</w:t>
      </w:r>
      <w:r>
        <w:t xml:space="preserve"> </w:t>
      </w:r>
      <w:r>
        <w:t xml:space="preserve">visibility and centralized compensation/rollback logic were requirements this pattern is</w:t>
      </w:r>
      <w:r>
        <w:t xml:space="preserve"> </w:t>
      </w:r>
      <w:r>
        <w:t xml:space="preserve">specifically solving for — the coordinator’s cost is the price of that visibility.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Eventual, not immediate, consistency across services</w:t>
      </w:r>
      <w:r>
        <w:t xml:space="preserve"> </w:t>
      </w:r>
      <w:r>
        <w:t xml:space="preserve">— at any given instant, the</w:t>
      </w:r>
      <w:r>
        <w:t xml:space="preserve"> </w:t>
      </w:r>
      <w:r>
        <w:t xml:space="preserve">Orchestrator’s view of saga state and a processing service’s view of its own job may be</w:t>
      </w:r>
      <w:r>
        <w:t xml:space="preserve"> </w:t>
      </w:r>
      <w:r>
        <w:t xml:space="preserve">momentarily out of sync (an event published but not yet consumed). Accepted because the</w:t>
      </w:r>
      <w:r>
        <w:t xml:space="preserve"> </w:t>
      </w:r>
      <w:r>
        <w:t xml:space="preserve">alternative — a distributed transaction spanning every service’s database — isn’t available</w:t>
      </w:r>
      <w:r>
        <w:t xml:space="preserve"> </w:t>
      </w:r>
      <w:r>
        <w:t xml:space="preserve">once each service owns its own database, which is itself a requirement for independent</w:t>
      </w:r>
      <w:r>
        <w:t xml:space="preserve"> </w:t>
      </w:r>
      <w:r>
        <w:t xml:space="preserve">deployability.</w:t>
      </w:r>
    </w:p>
    <w:p>
      <w:pPr>
        <w:pStyle w:val="BodyText"/>
      </w:pPr>
      <w:r>
        <w:t xml:space="preserve">Each of these is a deliberate choice with a named alternative and a stated reason it was</w:t>
      </w:r>
      <w:r>
        <w:t xml:space="preserve"> </w:t>
      </w:r>
      <w:r>
        <w:t xml:space="preserve">rejected — not an oversight to be discovered later.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2026-07-06T16:57:04Z</dcterms:created>
  <dcterms:modified xsi:type="dcterms:W3CDTF">2026-07-06T16:57:04Z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