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 simulation has traditionally relied on coupled atmospheric and computational fluid dynamics (CFD) formulations, such as ENVI-met (Bruse and Fleer 1998) or the LES-based PALM-4U model evaluated by Eingrüber et al. (2025) across Berlin street canyons. While physically comprehensive, Navier–Stokes fluid modeling imposes heavy computational penalties, frequently consuming hours of multi-core CPU cluster time per diurnal cycle and rendering iterative architectural exploration prohibitive (Krayenhoff et al. 2021). To alleviate this overhead, decoupled radiation engines have emerged as the standard paradigm for pedestrian thermal comfort assessment. By decoupling shortwave and longwave radiative flux calculations from convective fluid motion, the Solar and Longwave Environmental Irradiance Geometry (SOLWEIG) engine (Lindberg et al. 2008, 2018) estimates human radiant exposure at sub-meter spatial resolutions in seconds. Recent investigations have extended decoupled ray tracing to direct solar shading of building envelopes (Rayegan et al. 2025), urban canyon microclimate coupling (Bourquin et al. 2025), retro-reflective pavement modeling (Yuan et al. 2025), and vegetative cooling assessments (Chen et al. 2024; Baia et al. 2026). However, existing decoupled simulation engines operate strictly on monolithic batch principles: whenever a localized intervention—such as an overhead fabric canopy or tree planter—is placed within the urban corridor, the solver discards all precomputed spatial states and recomputes the entire digital twin from scratch, ignoring spatial sparsity and bounding properties.</w:t>
      </w:r>
    </w:p>
    <w:p>
      <w:pPr>
        <w:pStyle w:val="Heading2"/>
      </w:pPr>
      <w:r>
        <w:rPr>
          <w:b/>
          <w:color w:val="003366"/>
          <w:sz w:val="22"/>
        </w:rPr>
        <w:t>2.2 GPU Acceleration and Precomputed Transport Architectures</w:t>
      </w:r>
    </w:p>
    <w:p>
      <w:r>
        <w:t>To accelerate high-resolution microclimatic calculations, recent literature has increasingly turned to massively parallel graphical processing unit (GPU) computing. Kamath et al. (2026) developed SOLWEIG-GPU, achieving substantial runtime reductions for city-scale digital twins by parallelizing discrete ray marching and shadow casting on CUDA architectures. Similarly, Mei et al. (2025) presented GUST1.0, a GPU-accelerated energy balance engine that expedites 3D surface temperature modeling across complex building geometries, while parallel geospatial algorithms in Earth informatics have demonstrated significant efficiency gains for multicriteria urban analysis (Nguyen et al. 2023). Beyond direct ray tracing, precomputed radiative transfer techniques have been adapted from computer graphics to thermal simulation. Freude et al. (2023, 2025) formulated precomputed radiative transport matrices to simulate dynamic longwave and shortwave exchanges and solve inverse thermal material problems at interactive frame rates. Nonetheless, precomputation approaches suffer from a fundamental architectural limitation: they assume stationary geometric boundary conditions. The introduction of even a single localized shading canopy alters the geometric horizon and view-factor relationships, invalidating the precomputed transport matrices and necessitating an expensive full-domain rebuild. Crucially, prior GPU frameworks accelerate full-domain recomputation rather than formulating incremental reuse mechanisms.</w:t>
      </w:r>
    </w:p>
    <w:p>
      <w:pPr>
        <w:pStyle w:val="Heading2"/>
      </w:pPr>
      <w:r>
        <w:rPr>
          <w:b/>
          <w:color w:val="003366"/>
          <w:sz w:val="22"/>
        </w:rPr>
        <w:t>2.3 Machine Learning Surrogates and Active Optimization</w:t>
      </w:r>
    </w:p>
    <w:p>
      <w:r>
        <w:t>Recognizing the computational friction of physics-based solvers, researchers have extensively explored machine learning surrogates for urban heat island mitigation and microclimatic planning (Tao et al. 2025; Do et al. 2024). Deep learning surrogate architectures, such as the localized Fourier Neural Operators developed by Qin et al. (2024), map geometric and atmospheric boundary conditions to full 3D microclimate fields in milliseconds. However, machine learning surrogates introduce two severe limitations in design workflows: first, black-box neural networks lack certified, closed-form physical error bounds, making them prone to uncertified extrapolation errors when evaluating novel intervention shapes or extreme heatwave meteorology (Tao et al. 2025); second, static surrogates trained on fixed design distributions exhibit sharp accuracy degradation in dense canyon environments where sharp shadow discontinuities dominate. While Bayesian active learning frameworks can iteratively refine surrogate fidelity by balancing exploitation and exploration, their practical deployment requires an underlying physical simulation engine capable of evaluating proposed interventions with sub-second latency and guaranteed numerical parity.</w:t>
      </w:r>
    </w:p>
    <w:p>
      <w:pPr>
        <w:pStyle w:val="Heading2"/>
      </w:pPr>
      <w:r>
        <w:rPr>
          <w:b/>
          <w:color w:val="003366"/>
          <w:sz w:val="22"/>
        </w:rPr>
        <w:t>2.4 Identified Research Gap</w:t>
      </w:r>
    </w:p>
    <w:p>
      <w:r>
        <w:t>A review of the surveyed literature points out a key research gap related to the integration between microclimate simulation and computational urban design. While physics-based decoupled engines guarantee validated biometeorological accuracy, they cannot get rid of inefficient monolithic recomputation cycles. While transport matrices and neural models can run computations in real time, they become invalid with the changing geometry and are unable to deliver certified physical error bounds. The research gap lies in the lack of a framework that combines a mathematically certified incremental radiative transfer engine (which ensures bounding of truncation errors to below a degree of tolerance while reusing the majority of unaffected grid cells) with GPU acceleration and canopy optimization using active learning. Solaraeus bridges this research gap.</w:t>
      </w:r>
    </w:p>
    <w:p>
      <w:pPr>
        <w:pStyle w:val="Heading1"/>
      </w:pPr>
      <w:r>
        <w:rPr>
          <w:b/>
          <w:color w:val="003366"/>
          <w:sz w:val="26"/>
        </w:rPr>
        <w:t>3. Data Description</w:t>
      </w:r>
    </w:p>
    <w:p>
      <w:r>
        <w:t>All datasets involving geometry, weather, and vegetation used in Solaraeus were obtained from legitimate open-source databases and recorded using SHA256 cryptographic hash values in the repository index. Table 2 outlines the sources of the data used in all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Pipeline</w:t>
      </w:r>
    </w:p>
    <w:p>
      <w:r>
        <w:t>Figure 1 shows the entire end-to-end workflow of Solaraeus. The framework consists of six interdependent phases: (1) Data input, taking in building CityGML models, DTM grids, tree inventories, and hourly weather CSVs; (2) Preprocessing, involving the alignment of coordinate reference systems (EPSG:25833, 32616, 27700), creation of a 1.0 m pedestrian assessment grid at 1.1 m eye height, and setting of material albedo (α = 0.15–0.30) and emissivity (ε = 0.90–0.95); (3) Physical model core, comprising of solar position astronomical calculation, double precision Möller–Trumbore ray-triangle direct shading algorithm, Steyn (1980) 36-azimuth radial Sky View Factor computation, six-flux cylindrical heat exchange, and Stefan–Boltzmann Tmrt inversion; (4) Computational speedup, offering a CPU FP64 solver reference and a resident CUDA GPU kernel with verified incremental state caching functionality; (5) Active learning surrogates, and recommending interventions through lower confidence bound acquisitions; and (6) Post-processing, rendering the spatial difference maps between Tmrt and UTCI.</w:t>
      </w:r>
    </w:p>
    <w:p>
      <w:r>
        <w:drawing>
          <wp:inline xmlns:a="http://schemas.openxmlformats.org/drawingml/2006/main" xmlns:pic="http://schemas.openxmlformats.org/drawingml/2006/picture">
            <wp:extent cx="5943600" cy="339551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943600" cy="339551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Interactions</w:t>
      </w:r>
    </w:p>
    <w:p>
      <w:r>
        <w:t>Figure 2 provides the architecture of our modular system and the data flow among the modules of the code base (/src). Data ingestion models provide inputs to the geometry preprocessor, which generates triangular meshes and pedestrian grids. The biometeorology physics engine communicates with the dual-backend acceleration layer. The CUDA GPU backend runs the resident ray-triangle and horizon radius functions in the GPU VRAM and outputs double-precision NumPy arrays with resolution 200 × 240. A numerical checker is used to ensure that the results returned by the GPU solver match the results from the CPU solver to within numerical tolerances of 0.05 K.</w:t>
      </w:r>
    </w:p>
    <w:p>
      <w:r>
        <w:drawing>
          <wp:inline xmlns:a="http://schemas.openxmlformats.org/drawingml/2006/main" xmlns:pic="http://schemas.openxmlformats.org/drawingml/2006/picture">
            <wp:extent cx="5943600" cy="3904384"/>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943600" cy="3904384"/>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illustrates the flow chart of the certified incremental algorithm, specifying the mathematically proven elements from those that are calibrated empirically. On introducing a localized canopy perturbation ΔM, the solver isolates a conservative set of impacted pixels A. By Theorem 1, for every receptor pixel x ∉ A, the Mean Radiant Temperature approximation error is bounded by:</w:t>
        <w:br/>
        <w:br/>
        <w:t>|T̃mrt(x) - Tmrt^full(x)| ≤ B_T(x) ≤ ε_T = 0.50 K</w:t>
        <w:br/>
        <w:br/>
        <w:t>This inequality is derived using three physical components: (1) bounds on the direct beam guaranteeing no change to the direct shadows outside the dilated projection cone; (2) solid angle horizon truncation demonstrating quadratic decrease of the sky view factor perturbation with respect to distance d, ΔΨ ≤ (H_canopy · W_canopy) / (2π d²); and (3) concavity of the Stefan–Boltzmann law limiting temperature perturbations by ΔTmrt ≤ ΔΦ / (4 ε_p σ (T_min)³). In case of sun altitude lower than 5° or bound larger than ε_T, the engine reverts to full-domain recomputation, guaranteeing absence of certificate violations.</w:t>
      </w:r>
    </w:p>
    <w:p>
      <w:r>
        <w:drawing>
          <wp:inline xmlns:a="http://schemas.openxmlformats.org/drawingml/2006/main" xmlns:pic="http://schemas.openxmlformats.org/drawingml/2006/picture">
            <wp:extent cx="5943600" cy="4292438"/>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5943600" cy="4292438"/>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Multiple Optimization Techniques and Active Learning Loop</w:t>
      </w:r>
    </w:p>
    <w:p>
      <w:r>
        <w:t>Figure 4 depicts the optimization loop for autonomous placement of the canopy. The optimization problem aims at finding continuously-valued coordinates, sizes, orientation, and height for K = 2 canopies (decision dimensions D = 12) which minimize pedestrian pathway mean Tmrt such that: (1) total area ≤ 50.0 m²; (2) no pairwise overlap; (3) setback from building walls ≥ 1.0 m; and (4) clearance under the canopies ≥ 3.0 m. Four approaches have been compared under identical conditions in terms of budget (N = 50 physics evaluations) and seeds: Uniform Random Search, Direct Genetic Algorithm (GA), static Gaussian Process Surrogate model, and Active Learning through Lower Confidence Bound (GP-LCB) acquisition: α_LCB(θ) = μ(θ) - κ σ(θ) with κ = 1.96. The optimal configuration has been validated through full-domain CPU double precision recomputation.</w:t>
      </w:r>
    </w:p>
    <w:p>
      <w:r>
        <w:drawing>
          <wp:inline xmlns:a="http://schemas.openxmlformats.org/drawingml/2006/main" xmlns:pic="http://schemas.openxmlformats.org/drawingml/2006/picture">
            <wp:extent cx="5943600" cy="4172915"/>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5943600" cy="4172915"/>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Attributes in Study Locations</w:t>
      </w:r>
    </w:p>
    <w:p>
      <w:r>
        <w:t>Figure 5 shows the urban forms of the three urban canyons studied. Berlin Friedrichstrasse is a mid-density European perimeter canyon (canyon width 24 m, building height 21.5 to 24.0 m, ratio H/W 1.2), bordered by 16 Tilia cordata trees. Chicago South LaSalle Street is a deep canyon of North America’s financial district (canyon width 28 m, height of towers 48 to 110 m, ratio H/W 3.5). London Exhibition Road is a wide shared pedestrian canyon (canyon width 32 m, height of limestone institutions 22 to 32 m, ratio H/W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Accuracy Validation and Independent Parity Checks</w:t>
      </w:r>
    </w:p>
    <w:p>
      <w:r>
        <w:t>Physical accuracy was verified by comparing to the reference SOLWEIG/UMEP model for a well-defined 60 × 60 m plot in the Berlin corridor (900 street receptor cells). The correlation between reference SOLWEIG outputs and Solaraeus is shown in Figure 6. The absorbed cylindrical irradiance agreed almost perfectly (MAE = 3.07 W/m², RMSE = 3.09 W/m², R² = 0.9922). MRT accuracy was checked as follows: MAE = 0.437 K, RMSE = 0.439 K, maximum error = 0.613 K. Five limit cases were confirmed to be correct: (a) isolated cube direct flux was perfectly reproduced from hand calculations (error = 0.00 W/m²); (b) isothermal enclosure converged to boundary temperature (error = 0.0000 K); (c) overcast sky reduced Tmrt by 10.01 K; (d) ground albedo sweep showed perfect monotonic increase in flux (+39.5 W/m²); and (e) optimizer-off simulations reproduced results bitwise deterministically.</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shows the histogram of error per cell for nine adversarial interventions in the Berlin Corridor (canopy edge, low sun angles, shadows, canopy interaction, and early or late sun). Over more than 88,000 cell reuses, the largest error observed is 0.1219 K, which is well within the claimed certificate limit of 0.50 K. The percentage of cell reuse was above 98.3% for all cases in which there were no bound violations. For very low sun situations (&lt; 5°), full recomputation falls back to ensure complete soundness of the certificate.</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Performance Metrics</w:t>
      </w:r>
    </w:p>
    <w:p>
      <w:r>
        <w:t>Figure 8 provides benchmarking results for the total latency in CPU Full, CPU Incremental, GPU Full, and GPU Incremental modes for three domain sizes. For the Berlin corridor (Scene B, 10,000 cells), CPU full re-computation took 708.5 ± 17.6 ms, whereas CUDA GPU incremental update took 18.0 ± 0.4 ms (39.4× speed-up). For the 48,000 cells primary corridor (Table 3), GPU incremental updates take 18.2 ms (&gt; 300× speed-up from CPU full re-computation). The peak GPU memory usage was 1,064.5 MiB on the NVIDIA RTX 4050.</w:t>
      </w:r>
    </w:p>
    <w:p>
      <w:r>
        <w:drawing>
          <wp:inline xmlns:a="http://schemas.openxmlformats.org/drawingml/2006/main" xmlns:pic="http://schemas.openxmlformats.org/drawingml/2006/picture">
            <wp:extent cx="5943600" cy="2816430"/>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5943600" cy="2816430"/>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Comparison of Optimization Methodologies</w:t>
      </w:r>
    </w:p>
    <w:p>
      <w:r>
        <w:t>Figure 9 shows the convergence profiles for the four optimization algorithms (50 simulations, 3 seeds). The Direct Genetic Algorithm search reached the lowest Mean Tmrt of 42.6225 ± 0.0142°C (+0.4405 K cooling) in 1.13 seconds. The second lowest Mean Tmrt was achieved by the Random Search algorithm at 42.6275 ± 0.0268°C (+0.4355 K cooling, 1.25 seconds). Active Learning achieved 42.6524 ± 0.0088°C (+0.4106 K cooling) but took 177.93 seconds due to frequent hyperparameter tuning of the GP. A two-sample t-test between Active Learning and Random Search yielded t = 0.760, p = 0.514 (p &gt; 0.05), proving that Active Learning failed to defeat Random Search with statistical significance. In 12-dimensional space with limited simulation budgets (N = 50), the Latin hypercube initialization (15^(1/12) ≈ 1.25 points per dimension) and over-exploration by GP-LCB hindered the surrogate modeling process. As the GPU ray-tracing takes just milliseconds, the direct evolutionary algorithms are more efficient than the heavy GP surrogates in this context. Table 4 summarizes the benchmark findings.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Spatial Distribution and Cross-City Replication of Microclimate Conditions</w:t>
      </w:r>
    </w:p>
    <w:p>
      <w:r>
        <w:t>Figure 10 displays microclimatic fields “before,” “after,” and “delta” along the Berlin Friedrichstraße corridor. Baseline solar noon conditions expose pedestrians to intense heat stress (mean Tmrt = 43.0131°C, max Tmrt = 46.1273°C, mean UTCI = 31.7132°C). The optimized two-layered canopy system (Canopy 1: 26.79 m² at y = 34.06 m; Canopy 2: 21.40 m² at y = -26.47 m; total 48.19 m²) lowers mean Tmrt of the corridor to 42.5316°C (cooling delta +0.4815 K). Within the shaded zones under these canopies, the peak cooling due to direct-beam shading is +13.1371 K and the peak UTCI cooling is +3.4000 K. This decreases fraction of sunlit receptors by 3.56%.</w:t>
        <w:br/>
        <w:br/>
        <w:t>Table 5 summarizes the cross-city results of the replication study. In Chicago LaSalle financial canyon (H/W ≈ 3.5), self-shading of tall buildings prevents direct solar radiation on the pedestrian surface, resulting in an unmitigated baseline Tmrt value of 36.0355°C, whereas the introduction of an overhead canopy within the building shade area provides insignificant additional cooling of +0.0045 K mean, +0.12 K peak. On the contrary, in London Exhibition Road (H/W ≈ 0.9), a wide boulevard makes pedestrians experience intense radiative heat stress, i.e., unmitigated baseline Tmrt = 44.8093°C; the canopy produces +0.4004 K mean cooling and +15.6600 K peak cooling.</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under seven environmental scenarios revealed three key parameters that caused changes in thermal indicators exceeding 1.0 K: (1) Elimination of mature roadside trees resulted in +1.3812 K of corridor mean Tmrt, highlighting the importance of the role of urban vegetation; (2) Changing wind speed by ±1.0 m/s resulted in peak UTCI changes of ∓1.0000 K via forced convection; and (3) Changing direct beam irradiance by ±10% yielded ±3.76 K change of peak Tmrt. Changes in building heights by ±5% resulted in marginal changes in thermal indicators ranging from -0.06 K to +0.15 K since the solar noon azimuth angle and altitude were clear to the street floor.</w:t>
        <w:br/>
        <w:br/>
        <w:t>Finally, geometric consistency of shade analysis verified that simulated ray-tracing shadow centroids matched analytical trigonometry within 0.095 m (Canopy 1) and 0.006 m (Canopy 2), well within the 1.0 m grid cell resolution.</w:t>
      </w:r>
    </w:p>
    <w:p>
      <w:pPr>
        <w:pStyle w:val="Heading1"/>
      </w:pPr>
      <w:r>
        <w:rPr>
          <w:b/>
          <w:color w:val="003366"/>
          <w:sz w:val="26"/>
        </w:rPr>
        <w:t>6. Discussion</w:t>
      </w:r>
    </w:p>
    <w:p>
      <w:r>
        <w:t>The findings suggest that the localized shade structures are effective at alleviating local heat stress (+13.14 K to +15.66 K Tmrt decrease; +3.40 K to +3.82 K UTCI improvement) despite causing mild corridor-wide cooling (+0.40 K to +0.48 K). The findings support previous research by Eingrüber et al. (2025) employing PALM-4U in Berlin that showed the localized vegetative cooling range from 12.0 K to 15.0 K under dense tree canopies. However, unlike PALM-4U that requires several hours of high-performance CPU cluster computing time per one canopy layout assessment, Solaraeus performs incremental updates in 18.0 ms on a laptop GPU. The performance is greater than that of SOLWEIG-GPU reported by Kamath et al. (2026) as a result of GPU ray tracing enhanced with certified mathematical spatial caching.</w:t>
      </w:r>
    </w:p>
    <w:p>
      <w:r>
        <w:t>The algorithm analysis shows some important implications for automated urban design. While active learning and Bayesian optimization are widely recognized as best practices for engineering design (Tao et al. 2025; Qin et al. 2024), Active Learning failed to outperform the simple Random Search or Genetic Algorithms statistically in strict budgets (Welch’s t-test p = 0.514). In the case of 12-dimensional geometry, the first samples are too few to model complex interaction of shadows. Also, since GPU ray-tracing takes only milliseconds to evaluate candidates, an additional 177-seconds computational burden of training Gaussian Process surrogates appears to be redundant. As mentioned by Chen et al. (2024), the local authorities tend to focus on rapid candidate screening over heavy surrogate training in early-stage design.</w:t>
      </w:r>
    </w:p>
    <w:p>
      <w:pPr>
        <w:pStyle w:val="Heading2"/>
      </w:pPr>
      <w:r>
        <w:rPr>
          <w:b/>
          <w:sz w:val="22"/>
        </w:rPr>
        <w:t>6.1 Boundaries and Limitations of the Science</w:t>
      </w:r>
    </w:p>
    <w:p>
      <w:r>
        <w:t>Some physical limitations should be mentioned. Firstly, the Solaraeus model of radiation physics does not have Computational Fluid Dynamics coupling; wind speeds are constant boundary forcings rather than perturbed turbulent fields. Secondly, all cooling deltas were obtained exclusively using simulations and no microclimatic sensors' campaign was performed. Thirdly, crowns of trees are modeled as porous geometrical shapes of cylinders and ellipsoids with transmissivity coefficient (τ = 0.15); no leaf angles distribution dynamics and soil evapotranspiration were considered. Fourthly, honey locust planter distribution had to be approximated for Chicago because of limited data availability.</w:t>
      </w:r>
    </w:p>
    <w:p>
      <w:pPr>
        <w:pStyle w:val="Heading1"/>
      </w:pPr>
      <w:r>
        <w:rPr>
          <w:b/>
          <w:color w:val="003366"/>
          <w:sz w:val="26"/>
        </w:rPr>
        <w:t>7. Conclusion and Future Work</w:t>
      </w:r>
    </w:p>
    <w:p>
      <w:r>
        <w:t>The Solaraeus architecture addresses the bottleneck for microclimatic recomputation by using incremental and verified radiative transfer models along with GPU acceleration. With a proven Stefan-Boltzmann bound for errors (0.50 K), the platform is able to reuse more than 98% of static spatial cells, attaining update latencies below 20 ms even on consumer-class computers. Multiple empirical replications across various cities have revealed that installing shades in targeted areas offers substantial improvement in terms of comfort in wide boulevards (London, +15.66 K maximum cooling), but has negligible effect in self-shadowed high-rise canyons (Chicago, +0.12 K maximum cooling). For continuous canopy design, direct evolutionary algorithms were faster and more stable compared to Gaussian Process based active learning algorithms.</w:t>
        <w:br/>
        <w:br/>
        <w:t>In future, the framework would be expanded in three ways: (1) coupling of resident GPU radiation models with fast kinematic wind solvers to address canyon turbulence issues; (2) spectral albedo and retro-reflective pavement coatings (Yuan et al. 2025); and (3) implementation of digital twin framework on tropical Asian urban environments like the Bangalore and other metropolitan corridors of India to study monsoon and pre-monsoon heatwaves dynamics.</w:t>
      </w:r>
    </w:p>
    <w:p>
      <w:pPr>
        <w:pStyle w:val="Heading1"/>
      </w:pPr>
      <w:r>
        <w:rPr>
          <w:b/>
          <w:color w:val="003366"/>
          <w:sz w:val="26"/>
        </w:rPr>
        <w:t>Declarations</w:t>
      </w:r>
    </w:p>
    <w:p>
      <w:r>
        <w:t>Funding: This research received no external grant funding.</w:t>
        <w:br/>
        <w:br/>
        <w:t>Conflicts of Interest / Competing Interests: The authors declare that they have no competing financial or non-financial interests.</w:t>
        <w:br/>
        <w:br/>
        <w:t>Ethical Approval: Not applicable. This study does not involve human participants or animal subjects.</w:t>
        <w:br/>
        <w:br/>
        <w:t>Consent to Participate &amp; Publish: Not applicable.</w:t>
        <w:br/>
        <w:br/>
        <w:t>Author Contributions: A.S. conceptualized the methodology, formulated mathematical proofs, developed the software code, executed benchmarks, analyzed data, and drafted the manuscript.</w:t>
        <w:br/>
        <w:br/>
        <w:t>Code Availability: The complete source code, benchmark suites, and test pipelines are available under the open-source MIT License at: https://github.com/ayushsingh08-ds/solaraeus. Detailed reproduction workflows and cloud-compatible Google Colab notebooks are provided in the repository.</w:t>
        <w:br/>
        <w:br/>
        <w:t>Data Availability: All processed arrays (*.npy, 48,000 cells), simulation results, and benchmark metrics are cataloged with SHA256 checksums in /data/MANIFEST.md and hosted in the open GitHub repository and linked Zenodo research archive.</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