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review of the surveyed literature points out a key research gap related to the integration between microclimate simulation and computational urban design. While physics-based decoupled engines guarantee validated biometeorological accuracy, they cannot get rid of inefficient monolithic recomputation cycles. While transport matrices and neural models can run computations in real time, they become invalid with the changing geometry and are unable to deliver certified physical error bounds. The research gap lies in the lack of a framework that combines a mathematically certified incremental radiative transfer engine (which ensures bounding of truncation errors to below a degree of tolerance while reusing the majority of unaffected grid cells) with GPU acceleration and canopy optimization using active learning. Solaraeus bridges this research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empirical findings demonstrate that localized shade structures provide substantial local heat stress mitigation (+13.14 K to +15.66 K Tmrt reduction; +3.40 K to +3.82 K UTCI relief) while inducing modest corridor-wide cooling (+0.40 K to +0.48 K). These values align with recent findings by Eingrüber et al. (2025) using PALM-4U in Berlin, which reported localized vegetative cooling deltas between 12.0 K and 15.0 K beneath dense tree canopies. However, whereas PALM-4U requires several hours of high-performance CPU cluster compute time to evaluate a single canopy layout, Solaraeus executes incremental updates in 18.0 ms on a laptop GPU. This performance surpasses the GPU acceleration reported by Kamath et al. (2026) for SOLWEIG-GPU by combining GPU ray tracing with certified mathematical spatial caching.</w:t>
      </w:r>
    </w:p>
    <w:p>
      <w:r>
        <w:t>The algorithmic comparison reveals critical implications for automated urban design. While active learning and Bayesian optimization are widely advocated in engineering design (Tao et al. 2025; Qin et al. 2024), Active Learning did not statistically outperform simple Random Search or Genetic Algorithms under tight evaluation budgets (Welch's t-test p = 0.514). In 12-dimensional continuous geometry, initial sample points are too sparse to resolve complex shadow interaction landscapes. Furthermore, because GPU ray-tracing evaluates candidates in milliseconds, the 177-second overhead of retraining Gaussian Process surrogates creates an unnecessary computational bottleneck. As Chen et al. (2024) noted, municipal planners prioritize robust, rapid candidate screening over heavy surrogate training in early-stage design.</w:t>
      </w:r>
    </w:p>
    <w:p>
      <w:r>
        <w:t>Scientific Boundaries and Limitations: Several physical boundaries must be explicitly noted. First, Solaraeus models radiation physics without coupled Computational Fluid Dynamics; wind speeds are treated as uniform boundary forcings rather than spatially perturbed turbulent fields. Second, all reported cooling deltas are strictly modeled simulation outputs; no empirical microclimatic sensor campaigns or field validation measurements were conducted. Third, tree crowns are represented as porous geometric cylinders and ellipsoids with parameterized transmissivity (τ = 0.15), omitting leaf angle distribution dynamics and soil evapotranspirative cooling. Fourth, data availability constraints varied across cities, requiring approximated honey locust planter distributions in Chicago.</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