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review of the surveyed literature points out a key research gap related to the integration between microclimate simulation and computational urban design. While physics-based decoupled engines guarantee validated biometeorological accuracy, they cannot get rid of inefficient monolithic recomputation cycles. While transport matrices and neural models can run computations in real time, they become invalid with the changing geometry and are unable to deliver certified physical error bounds. The research gap lies in the lack of a framework that combines a mathematically certified incremental radiative transfer engine (which ensures bounding of truncation errors to below a degree of tolerance while reusing the majority of unaffected grid cells) with GPU acceleration and canopy optimization using active learning. Solaraeus bridges this research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Pipeline</w:t>
      </w:r>
    </w:p>
    <w:p>
      <w:r>
        <w:t>Figure 1 shows the entire end-to-end workflow of Solaraeus. The framework consists of six interdependent phases: (1) Data input, taking in building CityGML models, DTM grids, tree inventories, and hourly weather CSVs; (2) Preprocessing, involving the alignment of coordinate reference systems (EPSG:25833, 32616, 27700), creation of a 1.0 m pedestrian assessment grid at 1.1 m eye height, and setting of material albedo (α = 0.15–0.30) and emissivity (ε = 0.90–0.95); (3) Physical model core, comprising of solar position astronomical calculation, double precision Möller–Trumbore ray-triangle direct shading algorithm, Steyn (1980) 36-azimuth radial Sky View Factor computation, six-flux cylindrical heat exchange, and Stefan–Boltzmann Tmrt inversion; (4) Computational speedup, offering a CPU FP64 solver reference and a resident CUDA GPU kernel with verified incremental state caching functionality; (5) Active learning surrogates, and recommending interventions through lower confidence bound acquisitions; and (6) Post-processing, rendering the spatial difference maps between Tmrt and UTCI.</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Interactions</w:t>
      </w:r>
    </w:p>
    <w:p>
      <w:r>
        <w:t>Figure 2 provides the architecture of our modular system and the data flow among the modules of the code base (/src). Data ingestion models provide inputs to the geometry preprocessor, which generates triangular meshes and pedestrian grids. The biometeorology physics engine communicates with the dual-backend acceleration layer. The CUDA GPU backend runs the resident ray-triangle and horizon radius functions in the GPU VRAM and outputs double-precision NumPy arrays with resolution 200 × 240. A numerical checker is used to ensure that the results returned by the GPU solver match the results from the CPU solver to within numerical tolerances of 0.05 K.</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illustrates the flow chart of the certified incremental algorithm, specifying the mathematically proven elements from those that are calibrated empirically. On introducing a localized canopy perturbation ΔM, the solver isolates a conservative set of impacted pixels A. By Theorem 1, for every receptor pixel x ∉ A, the Mean Radiant Temperature approximation error is bounded by:</w:t>
        <w:br/>
        <w:br/>
        <w:t>|T̃mrt(x) - Tmrt^full(x)| ≤ B_T(x) ≤ ε_T = 0.50 K</w:t>
        <w:br/>
        <w:br/>
        <w:t>This inequality is derived using three physical components: (1) bounds on the direct beam guaranteeing no change to the direct shadows outside the dilated projection cone; (2) solid angle horizon truncation demonstrating quadratic decrease of the sky view factor perturbation with respect to distance d, ΔΨ ≤ (H_canopy · W_canopy) / (2π d²); and (3) concavity of the Stefan–Boltzmann law limiting temperature perturbations by ΔTmrt ≤ ΔΦ / (4 ε_p σ (T_min)³). In case of sun altitude lower than 5° or bound larger than ε_T, the engine reverts to full-domain recomputation, guaranteeing absence of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Multiple Optimization Techniques and Active Learning Loop</w:t>
      </w:r>
    </w:p>
    <w:p>
      <w:r>
        <w:t>Figure 4 depicts the optimization loop for autonomous placement of the canopy. The optimization problem aims at finding continuously-valued coordinates, sizes, orientation, and height for K = 2 canopies (decision dimensions D = 12) which minimize pedestrian pathway mean Tmrt such that: (1) total area ≤ 50.0 m²; (2) no pairwise overlap; (3) setback from building walls ≥ 1.0 m; and (4) clearance under the canopies ≥ 3.0 m. Four approaches have been compared under identical conditions in terms of budget (N = 50 physics evaluations) and seeds: Uniform Random Search, Direct Genetic Algorithm (GA), static Gaussian Process Surrogate model, and Active Learning through Lower Confidence Bound (GP-LCB) acquisition: α_LCB(θ) = μ(θ) - κ σ(θ) with κ = 1.96. The optimal configuration has been validated through full-domain CPU double 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Attributes in Study Locations</w:t>
      </w:r>
    </w:p>
    <w:p>
      <w:r>
        <w:t>Figure 5 shows the urban forms of the three urban canyons studied. Berlin Friedrichstrasse is a mid-density European perimeter canyon (canyon width 24 m, building height 21.5 to 24.0 m, ratio H/W 1.2), bordered by 16 Tilia cordata trees. Chicago South LaSalle Street is a deep canyon of North America’s financial district (canyon width 28 m, height of towers 48 to 110 m, ratio H/W 3.5). London Exhibition Road is a wide shared pedestrian canyon (canyon width 32 m, height of limestone institutions 22 to 32 m, ratio H/W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Accuracy Validation and Independent Parity Checks</w:t>
      </w:r>
    </w:p>
    <w:p>
      <w:r>
        <w:t>Physical accuracy was verified by comparing to the reference SOLWEIG/UMEP model for a well-defined 60 × 60 m plot in the Berlin corridor (900 street receptor cells). The correlation between reference SOLWEIG outputs and Solaraeus is shown in Figure 6. The absorbed cylindrical irradiance agreed almost perfectly (MAE = 3.07 W/m², RMSE = 3.09 W/m², R² = 0.9922). MRT accuracy was checked as follows: MAE = 0.437 K, RMSE = 0.439 K, maximum error = 0.613 K. Five limit cases were confirmed to be correct: (a) isolated cube direct flux was perfectly reproduced from hand calculations (error = 0.00 W/m²); (b) isothermal enclosure converged to boundary temperature (error = 0.0000 K); (c) overcast sky reduced Tmrt by 10.01 K; (d) ground albedo sweep showed perfect monotonic increase in flux (+39.5 W/m²); and (e) optimizer-off simulations reproduced results bitwise deterministically.</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shows the histogram of error per cell for nine adversarial interventions in the Berlin Corridor (canopy edge, low sun angles, shadows, canopy interaction, and early or late sun). Over more than 88,000 cell reuses, the largest error observed is 0.1219 K, which is well within the claimed certificate limit of 0.50 K. The percentage of cell reuse was above 98.3% for all cases in which there were no bound violations. For very low sun situations (&lt; 5°), full recomputation falls back to ensure complete soundness of the certificate.</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Performance Metrics</w:t>
      </w:r>
    </w:p>
    <w:p>
      <w:r>
        <w:t>Figure 8 provides benchmarking results for the total latency in CPU Full, CPU Incremental, GPU Full, and GPU Incremental modes for three domain sizes. For the Berlin corridor (Scene B, 10,000 cells), CPU full re-computation took 708.5 ± 17.6 ms, whereas CUDA GPU incremental update took 18.0 ± 0.4 ms (39.4× speed-up). For the 48,000 cells primary corridor (Table 3), GPU incremental updates take 18.2 ms (&gt; 300× speed-up from CPU full re-computation). The peak GPU memory usage was 1,064.5 MiB on the NVIDIA RTX 4050.</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Comparison of Optimization Methodologies</w:t>
      </w:r>
    </w:p>
    <w:p>
      <w:r>
        <w:t>Figure 9 shows the convergence profiles for the four optimization algorithms (50 simulations, 3 seeds). The Direct Genetic Algorithm search reached the lowest Mean Tmrt of 42.6225 ± 0.0142°C (+0.4405 K cooling) in 1.13 seconds. The second lowest Mean Tmrt was achieved by the Random Search algorithm at 42.6275 ± 0.0268°C (+0.4355 K cooling, 1.25 seconds). Active Learning achieved 42.6524 ± 0.0088°C (+0.4106 K cooling) but took 177.93 seconds due to frequent hyperparameter tuning of the GP. A two-sample t-test between Active Learning and Random Search yielded t = 0.760, p = 0.514 (p &gt; 0.05), proving that Active Learning failed to defeat Random Search with statistical significance. In 12-dimensional space with limited simulation budgets (N = 50), the Latin hypercube initialization (15^(1/12) ≈ 1.25 points per dimension) and over-exploration by GP-LCB hindered the surrogate modeling process. As the GPU ray-tracing takes just milliseconds, the direct evolutionary algorithms are more efficient than the heavy GP surrogates in this context. Table 4 summarizes the benchmark findings.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Spatial Distribution and Cross-City Replication of Microclimate Conditions</w:t>
      </w:r>
    </w:p>
    <w:p>
      <w:r>
        <w:t>Figure 10 displays microclimatic fields “before,” “after,” and “delta” along the Berlin Friedrichstraße corridor. Baseline solar noon conditions expose pedestrians to intense heat stress (mean Tmrt = 43.0131°C, max Tmrt = 46.1273°C, mean UTCI = 31.7132°C). The optimized two-layered canopy system (Canopy 1: 26.79 m² at y = 34.06 m; Canopy 2: 21.40 m² at y = -26.47 m; total 48.19 m²) lowers mean Tmrt of the corridor to 42.5316°C (cooling delta +0.4815 K). Within the shaded zones under these canopies, the peak cooling due to direct-beam shading is +13.1371 K and the peak UTCI cooling is +3.4000 K. This decreases fraction of sunlit receptors by 3.56%.</w:t>
        <w:br/>
        <w:br/>
        <w:t>Table 5 summarizes the cross-city results of the replication study. In Chicago LaSalle financial canyon (H/W ≈ 3.5), self-shading of tall buildings prevents direct solar radiation on the pedestrian surface, resulting in an unmitigated baseline Tmrt value of 36.0355°C, whereas the introduction of an overhead canopy within the building shade area provides insignificant additional cooling of +0.0045 K mean, +0.12 K peak. On the contrary, in London Exhibition Road (H/W ≈ 0.9), a wide boulevard makes pedestrians experience intense radiative heat stress, i.e., unmitigated baseline Tmrt = 44.8093°C; the canopy produces +0.4004 K mean cooling and +15.6600 K peak cooling.</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under seven environmental scenarios revealed three key parameters that caused changes in thermal indicators exceeding 1.0 K: (1) Elimination of mature roadside trees resulted in +1.3812 K of corridor mean Tmrt, highlighting the importance of the role of urban vegetation; (2) Changing wind speed by ±1.0 m/s resulted in peak UTCI changes of ∓1.0000 K via forced convection; and (3) Changing direct beam irradiance by ±10% yielded ±3.76 K change of peak Tmrt. Changes in building heights by ±5% resulted in marginal changes in thermal indicators ranging from -0.06 K to +0.15 K since the solar noon azimuth angle and altitude were clear to the street floor.</w:t>
        <w:br/>
        <w:br/>
        <w:t>Finally, geometric consistency of shade analysis verified that simulated ray-tracing shadow centroids matched analytical trigonometry within 0.095 m (Canopy 1) and 0.006 m (Canopy 2), well within the 1.0 m grid cell resolution.</w:t>
      </w:r>
    </w:p>
    <w:p>
      <w:pPr>
        <w:pStyle w:val="Heading1"/>
      </w:pPr>
      <w:r>
        <w:rPr>
          <w:b/>
          <w:color w:val="003366"/>
          <w:sz w:val="26"/>
        </w:rPr>
        <w:t>6. Discussion</w:t>
      </w:r>
    </w:p>
    <w:p>
      <w:r>
        <w:t>The findings suggest that the localized shade structures are effective at alleviating local heat stress (+13.14 K to +15.66 K Tmrt decrease; +3.40 K to +3.82 K UTCI improvement) despite causing mild corridor-wide cooling (+0.40 K to +0.48 K). The findings support previous research by Eingrüber et al. (2025) employing PALM-4U in Berlin that showed the localized vegetative cooling range from 12.0 K to 15.0 K under dense tree canopies. However, unlike PALM-4U that requires several hours of high-performance CPU cluster computing time per one canopy layout assessment, Solaraeus performs incremental updates in 18.0 ms on a laptop GPU. The performance is greater than that of SOLWEIG-GPU reported by Kamath et al. (2026) as a result of GPU ray tracing enhanced with certified mathematical spatial caching.</w:t>
      </w:r>
    </w:p>
    <w:p>
      <w:r>
        <w:t>The algorithm analysis shows some important implications for automated urban design. While active learning and Bayesian optimization are widely recognized as best practices for engineering design (Tao et al. 2025; Qin et al. 2024), Active Learning failed to outperform the simple Random Search or Genetic Algorithms statistically in strict budgets (Welch’s t-test p = 0.514). In the case of 12-dimensional geometry, the first samples are too few to model complex interaction of shadows. Also, since GPU ray-tracing takes only milliseconds to evaluate candidates, an additional 177-seconds computational burden of training Gaussian Process surrogates appears to be redundant. As mentioned by Chen et al. (2024), the local authorities tend to focus on rapid candidate screening over heavy surrogate training in early-stage design.</w:t>
      </w:r>
    </w:p>
    <w:p>
      <w:pPr>
        <w:pStyle w:val="Heading2"/>
      </w:pPr>
      <w:r>
        <w:rPr>
          <w:b/>
          <w:sz w:val="22"/>
        </w:rPr>
        <w:t>6.1 Boundaries and Limitations of the Science</w:t>
      </w:r>
    </w:p>
    <w:p>
      <w:r>
        <w:t>Some physical limitations should be mentioned. Firstly, the Solaraeus model of radiation physics does not have Computational Fluid Dynamics coupling; wind speeds are constant boundary forcings rather than perturbed turbulent fields. Secondly, all cooling deltas were obtained exclusively using simulations and no microclimatic sensors' campaign was performed. Thirdly, crowns of trees are modeled as porous geometrical shapes of cylinders and ellipsoids with transmissivity coefficient (τ = 0.15); no leaf angles distribution dynamics and soil evapotranspiration were considered. Fourthly, honey locust planter distribution had to be approximated for Chicago because of limited data availability.</w:t>
      </w:r>
    </w:p>
    <w:p>
      <w:pPr>
        <w:pStyle w:val="Heading1"/>
      </w:pPr>
      <w:r>
        <w:rPr>
          <w:b/>
          <w:color w:val="003366"/>
          <w:sz w:val="26"/>
        </w:rPr>
        <w:t>7. Conclusion and Future Work</w:t>
      </w:r>
    </w:p>
    <w:p>
      <w:r>
        <w:t>The Solaraeus architecture addresses the bottleneck for microclimatic recomputation by using incremental and verified radiative transfer models along with GPU acceleration. With a proven Stefan-Boltzmann bound for errors (0.50 K), the platform is able to reuse more than 98% of static spatial cells, attaining update latencies below 20 ms even on consumer-class computers. Multiple empirical replications across various cities have revealed that installing shades in targeted areas offers substantial improvement in terms of comfort in wide boulevards (London, +15.66 K maximum cooling), but has negligible effect in self-shadowed high-rise canyons (Chicago, +0.12 K maximum cooling). For continuous canopy design, direct evolutionary algorithms were faster and more stable compared to Gaussian Process based active learning algorithms.</w:t>
        <w:br/>
        <w:br/>
        <w:t>In future, the framework would be expanded in three ways: (1) coupling of resident GPU radiation models with fast kinematic wind solvers to address canyon turbulence issues; (2) spectral albedo and retro-reflective pavement coatings (Yuan et al. 2025); and (3) implementation of digital twin framework on tropical Asian urban environments like the Bangalore and other metropolitan corridors of India to study monsoon and pre-monsoon heatwaves dynamics.</w:t>
      </w:r>
    </w:p>
    <w:p>
      <w:pPr>
        <w:pStyle w:val="Heading1"/>
      </w:pPr>
      <w:r>
        <w:rPr>
          <w:b/>
          <w:color w:val="003366"/>
          <w:sz w:val="26"/>
        </w:rPr>
        <w:t>Declaration of Interests and Funding</w:t>
      </w:r>
    </w:p>
    <w:p>
      <w:r>
        <w:t>Funding: None.</w:t>
        <w:br/>
        <w:br/>
        <w:t>Conflict of Interest: In this regard, we declare that there is no conflict of interest for the authors, either financially or otherwise.</w:t>
        <w:br/>
        <w:br/>
        <w:t>Ethical Statement: None applicable. Neither human nor animal studies are part of this manuscript.</w:t>
        <w:br/>
        <w:br/>
        <w:t>Consent to Participate and Publish: Not applicable.</w:t>
        <w:br/>
        <w:br/>
        <w:t>Authors’ Contribution: Methodology was proposed by A.S., mathematical derivations were made, the code was written, benchmarked, results were analyzed, and the paper was prepared by A.S.</w:t>
        <w:br/>
        <w:br/>
        <w:t>Availability of Code: Source code, benchmarking results and scripts are publicly available at GitHub as an MIT-licensed open-source project: https://github.com/ayushsingh08-ds/solaraeus. Detailed workflow and cloud ready Google Colab notebooks are provided in GitHub repository.</w:t>
        <w:br/>
        <w:br/>
        <w:t>Data Availability: All datasets (*.npy, 48,000 cells), benchmarking results and performance metrics are provided in /data/MANIFEST.md and available on the open-source GitHub repository and Zenodo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