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Certified Incremental Radiative Transfer and GPU-Accelerated Microclimate Optimization for Urban Pedestrian Corridors</w:t>
      </w:r>
    </w:p>
    <w:p>
      <w:pPr>
        <w:spacing w:after="40"/>
        <w:jc w:val="center"/>
      </w:pPr>
      <w:r>
        <w:rPr>
          <w:b/>
          <w:sz w:val="24"/>
        </w:rPr>
        <w:t>Ayush Singh</w:t>
      </w:r>
    </w:p>
    <w:p>
      <w:pPr>
        <w:spacing w:after="360"/>
        <w:jc w:val="center"/>
      </w:pPr>
      <w:r>
        <w:rPr>
          <w:i/>
          <w:color w:val="444444"/>
          <w:sz w:val="19"/>
        </w:rPr>
        <w:t>Department of Data Science and Engineering, Computational Urban Climate Research Initiative</w:t>
        <w:br/>
        <w:t>Academic Research Laboratory for Geospatial Informatics</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Pedestrian radiant heat stress during extreme summer heatwaves presents a critical urban public health challenge. Standard decoupled microclimate simulation engines operate as monolithic batch programs: whenever a localized shade canopy or vegetation alteration is introduced, the entire domain is recomputed from scratch, creating a prohibitive computational bottleneck for iterative design. In this study, we present Solaraeus, an open-source 3D microclimate modeling platform that resolves the recomputation bottleneck through certified incremental radiative transfer and resident CUDA GPU acceleration. The mathematical error bound guarantees that untouched cells outside a conservatively marked zone satisfy a declared thermal tolerance (0.50 K) via solid-angle horizon decay and Stefan–Boltzmann concave linearization, allowing more than 98% of grid cells to be reused. On the primary Berlin Friedrichstraße corridor (240 m × 200 m, 48,000 cells at 1.0 m resolution), baseline peak noon simulations reveal severe thermal stress (corridor mean Tmrt = 43.01 °C, peak 46.13 °C). Placing an optimized dual-canopy installation (48.19 m²) delivers +0.48 K corridor-mean radiant cooling and a peak local direct-beam shading relief of +13.14 K (+3.40 K UTCI reduction). Resident GPU execution on an NVIDIA RTX 4050 completes incremental updates in 18.0 ms, achieving over 300× speedup compared to full CPU recomputation. Cross-city replications demonstrate that architectural self-shading renders overhead canopies ineffective in deep high-rise canyons (Chicago LaSalle, mean cooling +0.0045 K), whereas wide shared boulevards achieve substantial cooling relief (London Exhibition Road, mean cooling +0.40 K, peak local relief +15.66 K). These findings establish that real-time certified simulation enables automated microclimatic design without sacrificing physical fidelity.</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synthesis of the surveyed literature reveals a critical methodological gap at the intersection of microclimate simulation and computational urban design. On one hand, physics-based decoupled engines provide validated biometeorological fidelity but remain bound to inefficient monolithic recomputation loops. On the other hand, precomputed transport matrices and neural surrogates offer real-time speeds but fail under geometric topology changes or lack certified physical error bounds. What is currently missing is a unified framework that couples a mathematically certified incremental radiative transfer engine—capable of bounding truncation errors to sub-degree tolerances while reusing the vast majority of unaffected grid cells—with resident GPU acceleration and active-learning canopy optimization. Solaraeus is engineered specifically to bridge this gap.</w:t>
      </w:r>
    </w:p>
    <w:p>
      <w:pPr>
        <w:pStyle w:val="Heading1"/>
      </w:pPr>
      <w:r>
        <w:rPr>
          <w:b/>
          <w:color w:val="003366"/>
          <w:sz w:val="26"/>
        </w:rPr>
        <w:t>3. Description of Data</w:t>
      </w:r>
    </w:p>
    <w:p>
      <w:r>
        <w:t>All geometric, meteorological, and vegetative datasets used in Solaraeus were acquired from verified open-access repositories and cataloged with cryptographic SHA256 checksums in the repository manifest. Table 2 details the data sources across the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Workflow</w:t>
      </w:r>
    </w:p>
    <w:p>
      <w:r>
        <w:t>Figure 1 illustrates the end-to-end operational pipeline of Solaraeus. The framework is organized into six interconnected stages: (1) Data acquisition, which ingests building CityGML models, DTM grids, tree inventories, and diurnal weather CSVs; (2) Preprocessing, which aligns coordinate reference systems (EPSG:25833, 32616, 27700), constructs a 1.0 m pedestrian evaluation grid at 1.1 m eye level, and assigns material albedo (α = 0.15–0.30) and emissivity (ε = 0.90–0.95); (3) Physics core, executing astronomical solar position tracking, double-precision Möller–Trumbore ray-triangle direct shadow casting, Steyn (1980) 36-azimuth radial Sky View Factor calculations, six-flux cylindrical radiant exchange, and Stefan–Boltzmann Tmrt inversion; (4) Computational acceleration, providing a CPU FP64 reference solver and a resident CUDA GPU kernel engine with certified incremental state caching; (5) Active learning optimization, screening candidate canopy vectors, training Gaussian Process surrogates, and proposing interventions via lower confidence bound acquisition; and (6) Post-processing, outputting spatial Tmrt and UTCI difference maps.</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Interfaces</w:t>
      </w:r>
    </w:p>
    <w:p>
      <w:r>
        <w:t>Figure 2 details the modular system architecture and data interfaces across the core codebase (/src). Data ingestion models feed into the geometry preprocessor, constructing triangular meshes and pedestrian grids. The biometeorological physics engine interfaces directly with the dual-backend acceleration layer. The CUDA GPU acceleration backend executes resident ray-triangle and radial horizon kernels in GPU VRAM, returning 200 × 240 double-precision NumPy arrays. An analytical parity oracle verifies that the GPU solver matches the CPU reference backend within a strict 0.05 K numerical tolerance before passing state arrays to the active learning placement solver.</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details the operational flowchart of the certified incremental solver, delineating mathematically proved components from empirically calibrated stages. When a localized canopy edit ΔM is introduced, the engine identifies a conservative affected zone A. Theorem 1 establishes that for any receptor point x outside A, the Mean Radiant Temperature approximation error satisfies:</w:t>
        <w:br/>
        <w:br/>
        <w:t>|T̃mrt(x) - Tmrt^full(x)| ≤ B_T(x) ≤ ε_T = 0.50 K</w:t>
        <w:br/>
        <w:br/>
        <w:t>The proof couples three physical components: (1) direct solar beam bounding guarantees zero direct shadow changes outside the dilated projection cone; (2) solid-angle horizon truncation establishes that sky view factor perturbations decay quadratically with distance d as ΔΨ ≤ (H_canopy · W_canopy) / (2π d²); and (3) concave Stefan–Boltzmann linearization bounds temperature variations via ΔTmrt ≤ ΔΦ / (4 ε_p σ (T_min)³). If the sun altitude drops below 5° or the declared bound exceeds ε_T, the engine falls back to full domain recomputation, ensuring zero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Multi-Method Optimization and Active Learning Loop</w:t>
      </w:r>
    </w:p>
    <w:p>
      <w:r>
        <w:t>Figure 4 illustrates the optimization loop for autonomous canopy placement. The design problem seeks continuous coordinates, dimensions, heading, and height for K=2 canopies (D=12 decision parameters) minimizing pedestrian corridor mean Tmrt subject to: (1) area budget ≤ 50.0 m²; (2) pairwise non-overlap; (3) building facade setbacks ≥ 1.0 m; and (4) underside clearance ≥ 3.0 m. Four methodologies were benchmarked across identical simulation budgets (N=50 physics evaluations) and three random seeds: Uniform Random Search, Direct Genetic Algorithm (GA), Static Gaussian Process Surrogate, and Active Learning via Lower Confidence Bound (GP-LCB) acquisition: α_LCB(θ) = μ(θ) - κ σ(θ) with κ = 1.96. The optimal layout is verified via full CPU double-precision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Characteristics Across Study Areas</w:t>
      </w:r>
    </w:p>
    <w:p>
      <w:r>
        <w:t>Figure 5 displays the spatial layouts of the three evaluated urban corridors. Berlin Friedrichstraße represents a mid-density European perimeter canyon (canyon width 24 m, building heights 21.5–24.0 m, aspect ratio H/W ≈ 1.2) flanked by 16 mature Tilia cordata trees. Chicago S LaSalle Street constitutes a deep North American financial canyon (width 28 m, tower heights 48–110 m, aspect ratio H/W ≈ 3.5). London Exhibition Road exemplifies a broad shared-space pedestrian boulevard (width 32 m, institutional limestone heights 22–32 m, aspect ratio H/W ≈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Model Validation and Independent Parity</w:t>
      </w:r>
    </w:p>
    <w:p>
      <w:r>
        <w:t>Physical accuracy was benchmarked against the reference SOLWEIG/UMEP model on a controlled 60 m × 60 m block of the Berlin corridor (900 active street receptor cells). Figure 6 displays the correlation between reference SOLWEIG predictions and Solaraeus. Absorbed cylindrical irradiance achieved near-perfect agreement (MAE = 3.07 W/m², RMSE = 3.09 W/m², R² = 0.9922). Mean Radiant Temperature achieved MAE = 0.437 K, RMSE = 0.439 K, and maximum error = 0.613 K, confirming sub-degree biometeorological parity. Furthermore, five limiting-case tests were verified: (a) isolated cube direct flux matched hand calculations exactly (error = 0.00 W/m²); (b) enclosed isothermal cavity converged to boundary temperature with 0.0000 K error; (c) overcast sky attenuated Tmrt by 10.01 K; (d) ground albedo sweep demonstrated monotonic upward flux response (+39.5 W/m²); and (e) optimizer-off simulations verified bitwise deterministic reproduction.</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presents the per-cell error histogram across nine adversarial intervention scenarios on the Berlin corridor (street-edge canopies, low sun angles, overlapping shadows, multi-canopy interactions, and morning/evening sun). Across more than 88,000 reused cell evaluations, the maximum observed error was 0.1219 K, well below the declared 0.50 K certificate bound. The cell reuse ratio exceeded 98.3% across all certified cases with zero bound violations. In extreme low sun conditions (&lt; 5°), the engine automatically triggered full recomputation fallback, guaranteeing complete certificate soundness.</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Benchmarks</w:t>
      </w:r>
    </w:p>
    <w:p>
      <w:r>
        <w:t>Figure 8 benchmarks total latency across CPU Full, CPU Incremental, GPU Full, and GPU Incremental modes across three domain scales. On the Berlin corridor (Scene B, 10,000 cells), CPU full recomputation required 708.5 ± 17.6 ms, whereas CUDA GPU incremental updates completed in 18.0 ± 0.4 ms (39.4× speedup). On the 48,000-cell primary corridor (Table 3), GPU incremental updates execute in 18.2 ms (&gt;300× speedup over full CPU recomputation). Peak GPU memory was 1,064.5 MiB on the NVIDIA RTX 4050, confirming compatibility with edge hardware.</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Optimization Methodologies Comparison</w:t>
      </w:r>
    </w:p>
    <w:p>
      <w:r>
        <w:t>Figure 9 compares convergence trajectories across the four optimization methods (50 budget, 3 seeds). Direct Genetic Algorithm search achieved the lowest final Mean Tmrt (42.6225 ± 0.0142 °C, +0.4405 K cooling, runtime 1.13 s), closely followed by Random Search (42.6275 ± 0.0268 °C, +0.4355 K cooling, runtime 1.25 s). Active Learning achieved 42.6524 ± 0.0088 °C (+0.4106 K cooling) but required 177.93 s due to GP hyperparameter retraining. Welch's two-sample t-test between Active Learning and Random Search yielded t = 0.760, p = 0.514 (p &gt; 0.05), demonstrating that Active Learning did not beat Random Search with statistical significance. In 12 dimensions under tight simulation budgets (N=50), Latin hypercube initialization (15^(1/12) ≈ 1.25 points per dimension) and over-exploration by GP-LCB impeded surrogate modeling. Because GPU ray-tracing executes in milliseconds, direct evolutionary algorithms are faster and more robust than heavy GP surrogates in this setting. Table 4 summarizes the benchmark results.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Microclimatic Spatial Distribution and Cross-City Replication</w:t>
      </w:r>
    </w:p>
    <w:p>
      <w:r>
        <w:t>Figure 10 maps the before, after, and delta microclimatic fields on the Berlin Friedrichstraße corridor. Baseline solar noon conditions subject pedestrians to severe thermal stress (mean Tmrt = 43.0131 °C, peak Tmrt = 46.1273 °C, mean UTCI = 31.7132 °C). The optimized dual-canopy installation (Canopy 1: 26.79 m² at y = 34.06 m; Canopy 2: 21.40 m² at y = -26.47 m; total 48.19 m²) reduces corridor mean Tmrt to 42.5316 °C (cooling delta +0.4815 K). Directly beneath the structures, direct-beam shading delivers a peak local cooling of +13.1371 K and a peak UTCI reduction of +3.4000 K, reducing sunlit receptor fraction by 3.56%.</w:t>
        <w:br/>
        <w:br/>
        <w:t>Table 5 presents cross-city replication results. In the Chicago LaSalle financial canyon (H/W ≈ 3.5), tall building self-shading blocks direct solar rays at pavement level, producing an unmitigated baseline Tmrt of 36.0355 °C; adding overhead canopies inside existing building shadow yields negligible marginal cooling (+0.0045 K mean, +0.12 K peak). Conversely, in London Exhibition Road (H/W ≈ 0.9), wide boulevard exposure subjects pedestrians to extreme radiation (baseline Tmrt = 44.8093 °C); the canopy intervention delivers +0.4004 K corridor-mean cooling and a substantial peak local cooling of +15.6600 K (+3.82 K UTCI relief).</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across seven environmental scenarios identified three parameters shifting thermal metrics by more than 1.0 K: (1) Removing mature roadside trees increased corridor mean Tmrt by +1.3812 K, proving the critical protective function of urban vegetation; (2) Modulating wind speed by ±1.0 m/s altered peak UTCI by ∓1.0000 K through forced convective heat dissipation; and (3) A ±10% direct beam irradiance shift induced a ±3.76 K change in peak Tmrt. Building height perturbations (±5%) induced negligible shifts (-0.06 K to +0.15 K) because solar noon azimuth and altitude unoccluded the street floor directly.</w:t>
        <w:br/>
        <w:br/>
        <w:t>Finally, geometric shade consistency verification confirmed that simulated ray-traced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