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60" w:type="dxa"/>
              <w:bottom w:w="60" w:type="dxa"/>
              <w:left w:w="70" w:type="dxa"/>
              <w:right w:w="70" w:type="dxa"/>
            </w:tcMar>
          </w:tcPr>
          <w:p>
            <w:r>
              <w:rPr>
                <w:b/>
                <w:sz w:val="15"/>
              </w:rPr>
              <w:t>Author &amp; Year</w:t>
            </w:r>
          </w:p>
        </w:tc>
        <w:tc>
          <w:tcPr>
            <w:tcW w:type="dxa" w:w="2340"/>
            <w:shd w:fill="EAEAEA"/>
            <w:tcMar>
              <w:top w:w="60" w:type="dxa"/>
              <w:bottom w:w="60" w:type="dxa"/>
              <w:left w:w="70" w:type="dxa"/>
              <w:right w:w="70" w:type="dxa"/>
            </w:tcMar>
          </w:tcPr>
          <w:p>
            <w:r>
              <w:rPr>
                <w:b/>
                <w:sz w:val="15"/>
              </w:rPr>
              <w:t>Journal / Venue</w:t>
            </w:r>
          </w:p>
        </w:tc>
        <w:tc>
          <w:tcPr>
            <w:tcW w:type="dxa" w:w="2340"/>
            <w:shd w:fill="EAEAEA"/>
            <w:tcMar>
              <w:top w:w="60" w:type="dxa"/>
              <w:bottom w:w="60" w:type="dxa"/>
              <w:left w:w="70" w:type="dxa"/>
              <w:right w:w="70" w:type="dxa"/>
            </w:tcMar>
          </w:tcPr>
          <w:p>
            <w:r>
              <w:rPr>
                <w:b/>
                <w:sz w:val="15"/>
              </w:rPr>
              <w:t>Core Contribution</w:t>
            </w:r>
          </w:p>
        </w:tc>
        <w:tc>
          <w:tcPr>
            <w:tcW w:type="dxa" w:w="2340"/>
            <w:shd w:fill="EAEAEA"/>
            <w:tcMar>
              <w:top w:w="60" w:type="dxa"/>
              <w:bottom w:w="60" w:type="dxa"/>
              <w:left w:w="70" w:type="dxa"/>
              <w:right w:w="70" w:type="dxa"/>
            </w:tcMar>
          </w:tcPr>
          <w:p>
            <w:r>
              <w:rPr>
                <w:b/>
                <w:sz w:val="15"/>
              </w:rPr>
              <w:t>Identified Limitation</w:t>
            </w:r>
          </w:p>
        </w:tc>
      </w:tr>
      <w:tr>
        <w:tc>
          <w:tcPr>
            <w:tcW w:type="dxa" w:w="2340"/>
            <w:tcMar>
              <w:top w:w="40" w:type="dxa"/>
              <w:bottom w:w="40" w:type="dxa"/>
              <w:left w:w="60" w:type="dxa"/>
              <w:right w:w="60" w:type="dxa"/>
            </w:tcMar>
          </w:tcPr>
          <w:p>
            <w:r>
              <w:rPr>
                <w:sz w:val="14"/>
              </w:rPr>
              <w:t>Baia et al. (2026)</w:t>
            </w:r>
          </w:p>
        </w:tc>
        <w:tc>
          <w:tcPr>
            <w:tcW w:type="dxa" w:w="2340"/>
            <w:tcMar>
              <w:top w:w="40" w:type="dxa"/>
              <w:bottom w:w="40" w:type="dxa"/>
              <w:left w:w="60" w:type="dxa"/>
              <w:right w:w="60" w:type="dxa"/>
            </w:tcMar>
          </w:tcPr>
          <w:p>
            <w:r>
              <w:rPr>
                <w:sz w:val="14"/>
              </w:rPr>
              <w:t>Computational Urban Science</w:t>
            </w:r>
          </w:p>
        </w:tc>
        <w:tc>
          <w:tcPr>
            <w:tcW w:type="dxa" w:w="2340"/>
            <w:tcMar>
              <w:top w:w="40" w:type="dxa"/>
              <w:bottom w:w="40" w:type="dxa"/>
              <w:left w:w="60" w:type="dxa"/>
              <w:right w:w="60" w:type="dxa"/>
            </w:tcMar>
          </w:tcPr>
          <w:p>
            <w:r>
              <w:rPr>
                <w:sz w:val="14"/>
              </w:rPr>
              <w:t>Clustering high-resolution microclimatic features to identify spatial heat island morphologies.</w:t>
            </w:r>
          </w:p>
        </w:tc>
        <w:tc>
          <w:tcPr>
            <w:tcW w:type="dxa" w:w="2340"/>
            <w:tcMar>
              <w:top w:w="40" w:type="dxa"/>
              <w:bottom w:w="40" w:type="dxa"/>
              <w:left w:w="60" w:type="dxa"/>
              <w:right w:w="60" w:type="dxa"/>
            </w:tcMar>
          </w:tcPr>
          <w:p>
            <w:r>
              <w:rPr>
                <w:sz w:val="14"/>
              </w:rPr>
              <w:t>Identified thermal morphology clusters but lacked real-time 3D ray-traced geometric shading.</w:t>
            </w:r>
          </w:p>
        </w:tc>
      </w:tr>
      <w:tr>
        <w:tc>
          <w:tcPr>
            <w:tcW w:type="dxa" w:w="2340"/>
            <w:tcMar>
              <w:top w:w="40" w:type="dxa"/>
              <w:bottom w:w="40" w:type="dxa"/>
              <w:left w:w="60" w:type="dxa"/>
              <w:right w:w="60" w:type="dxa"/>
            </w:tcMar>
            <w:shd w:fill="FAFAFA"/>
          </w:tcPr>
          <w:p>
            <w:r>
              <w:rPr>
                <w:sz w:val="14"/>
              </w:rPr>
              <w:t>Kamath et al. (2026)</w:t>
            </w:r>
          </w:p>
        </w:tc>
        <w:tc>
          <w:tcPr>
            <w:tcW w:type="dxa" w:w="2340"/>
            <w:tcMar>
              <w:top w:w="40" w:type="dxa"/>
              <w:bottom w:w="40" w:type="dxa"/>
              <w:left w:w="60" w:type="dxa"/>
              <w:right w:w="60" w:type="dxa"/>
            </w:tcMar>
            <w:shd w:fill="FAFAFA"/>
          </w:tcPr>
          <w:p>
            <w:r>
              <w:rPr>
                <w:sz w:val="14"/>
              </w:rPr>
              <w:t>Preprint / UT Austin &amp; Gothenburg</w:t>
            </w:r>
          </w:p>
        </w:tc>
        <w:tc>
          <w:tcPr>
            <w:tcW w:type="dxa" w:w="2340"/>
            <w:tcMar>
              <w:top w:w="40" w:type="dxa"/>
              <w:bottom w:w="40" w:type="dxa"/>
              <w:left w:w="60" w:type="dxa"/>
              <w:right w:w="60" w:type="dxa"/>
            </w:tcMar>
            <w:shd w:fill="FAFAFA"/>
          </w:tcPr>
          <w:p>
            <w:r>
              <w:rPr>
                <w:sz w:val="14"/>
              </w:rPr>
              <w:t>Implemented CUDA GPU acceleration for the SOLWEIG human comfort model on digital twins.</w:t>
            </w:r>
          </w:p>
        </w:tc>
        <w:tc>
          <w:tcPr>
            <w:tcW w:type="dxa" w:w="2340"/>
            <w:tcMar>
              <w:top w:w="40" w:type="dxa"/>
              <w:bottom w:w="40" w:type="dxa"/>
              <w:left w:w="60" w:type="dxa"/>
              <w:right w:w="60" w:type="dxa"/>
            </w:tcMar>
            <w:shd w:fill="FAFAFA"/>
          </w:tcPr>
          <w:p>
            <w:r>
              <w:rPr>
                <w:sz w:val="14"/>
              </w:rPr>
              <w:t>Accelerated full-domain batch recalculations but did not formulate incremental cell reuse.</w:t>
            </w:r>
          </w:p>
        </w:tc>
      </w:tr>
      <w:tr>
        <w:tc>
          <w:tcPr>
            <w:tcW w:type="dxa" w:w="2340"/>
            <w:tcMar>
              <w:top w:w="40" w:type="dxa"/>
              <w:bottom w:w="40" w:type="dxa"/>
              <w:left w:w="60" w:type="dxa"/>
              <w:right w:w="60" w:type="dxa"/>
            </w:tcMar>
          </w:tcPr>
          <w:p>
            <w:r>
              <w:rPr>
                <w:sz w:val="14"/>
              </w:rPr>
              <w:t>Eingrüber et al. (2025)</w:t>
            </w:r>
          </w:p>
        </w:tc>
        <w:tc>
          <w:tcPr>
            <w:tcW w:type="dxa" w:w="2340"/>
            <w:tcMar>
              <w:top w:w="40" w:type="dxa"/>
              <w:bottom w:w="40" w:type="dxa"/>
              <w:left w:w="60" w:type="dxa"/>
              <w:right w:w="60" w:type="dxa"/>
            </w:tcMar>
          </w:tcPr>
          <w:p>
            <w:r>
              <w:rPr>
                <w:sz w:val="14"/>
              </w:rPr>
              <w:t>Geoscientific Model Development</w:t>
            </w:r>
          </w:p>
        </w:tc>
        <w:tc>
          <w:tcPr>
            <w:tcW w:type="dxa" w:w="2340"/>
            <w:tcMar>
              <w:top w:w="40" w:type="dxa"/>
              <w:bottom w:w="40" w:type="dxa"/>
              <w:left w:w="60" w:type="dxa"/>
              <w:right w:w="60" w:type="dxa"/>
            </w:tcMar>
          </w:tcPr>
          <w:p>
            <w:r>
              <w:rPr>
                <w:sz w:val="14"/>
              </w:rPr>
              <w:t>Simulated urban greening cooling in Berlin canyons using PALM-4U across grid resolutions.</w:t>
            </w:r>
          </w:p>
        </w:tc>
        <w:tc>
          <w:tcPr>
            <w:tcW w:type="dxa" w:w="2340"/>
            <w:tcMar>
              <w:top w:w="40" w:type="dxa"/>
              <w:bottom w:w="40" w:type="dxa"/>
              <w:left w:w="60" w:type="dxa"/>
              <w:right w:w="60" w:type="dxa"/>
            </w:tcMar>
          </w:tcPr>
          <w:p>
            <w:r>
              <w:rPr>
                <w:sz w:val="14"/>
              </w:rPr>
              <w:t>High physical realism but required heavy multi-core CPU compute times of several hours.</w:t>
            </w:r>
          </w:p>
        </w:tc>
      </w:tr>
      <w:tr>
        <w:tc>
          <w:tcPr>
            <w:tcW w:type="dxa" w:w="2340"/>
            <w:tcMar>
              <w:top w:w="40" w:type="dxa"/>
              <w:bottom w:w="40" w:type="dxa"/>
              <w:left w:w="60" w:type="dxa"/>
              <w:right w:w="60" w:type="dxa"/>
            </w:tcMar>
            <w:shd w:fill="FAFAFA"/>
          </w:tcPr>
          <w:p>
            <w:r>
              <w:rPr>
                <w:sz w:val="14"/>
              </w:rPr>
              <w:t>Mei et al. (2025)</w:t>
            </w:r>
          </w:p>
        </w:tc>
        <w:tc>
          <w:tcPr>
            <w:tcW w:type="dxa" w:w="2340"/>
            <w:tcMar>
              <w:top w:w="40" w:type="dxa"/>
              <w:bottom w:w="40" w:type="dxa"/>
              <w:left w:w="60" w:type="dxa"/>
              <w:right w:w="60" w:type="dxa"/>
            </w:tcMar>
            <w:shd w:fill="FAFAFA"/>
          </w:tcPr>
          <w:p>
            <w:r>
              <w:rPr>
                <w:sz w:val="14"/>
              </w:rPr>
              <w:t>Geoscientific Model Development</w:t>
            </w:r>
          </w:p>
        </w:tc>
        <w:tc>
          <w:tcPr>
            <w:tcW w:type="dxa" w:w="2340"/>
            <w:tcMar>
              <w:top w:w="40" w:type="dxa"/>
              <w:bottom w:w="40" w:type="dxa"/>
              <w:left w:w="60" w:type="dxa"/>
              <w:right w:w="60" w:type="dxa"/>
            </w:tcMar>
            <w:shd w:fill="FAFAFA"/>
          </w:tcPr>
          <w:p>
            <w:r>
              <w:rPr>
                <w:sz w:val="14"/>
              </w:rPr>
              <w:t>Developed GUST1.0 GPU-accelerated 3D urban surface temperature and energy balance engine.</w:t>
            </w:r>
          </w:p>
        </w:tc>
        <w:tc>
          <w:tcPr>
            <w:tcW w:type="dxa" w:w="2340"/>
            <w:tcMar>
              <w:top w:w="40" w:type="dxa"/>
              <w:bottom w:w="40" w:type="dxa"/>
              <w:left w:w="60" w:type="dxa"/>
              <w:right w:w="60" w:type="dxa"/>
            </w:tcMar>
            <w:shd w:fill="FAFAFA"/>
          </w:tcPr>
          <w:p>
            <w:r>
              <w:rPr>
                <w:sz w:val="14"/>
              </w:rPr>
              <w:t>Significantly reduced surface temperature solve time; focused on building facades rather than pedestrian grids.</w:t>
            </w:r>
          </w:p>
        </w:tc>
      </w:tr>
      <w:tr>
        <w:tc>
          <w:tcPr>
            <w:tcW w:type="dxa" w:w="2340"/>
            <w:tcMar>
              <w:top w:w="40" w:type="dxa"/>
              <w:bottom w:w="40" w:type="dxa"/>
              <w:left w:w="60" w:type="dxa"/>
              <w:right w:w="60" w:type="dxa"/>
            </w:tcMar>
          </w:tcPr>
          <w:p>
            <w:r>
              <w:rPr>
                <w:sz w:val="14"/>
              </w:rPr>
              <w:t>Freude et al. (2025)</w:t>
            </w:r>
          </w:p>
        </w:tc>
        <w:tc>
          <w:tcPr>
            <w:tcW w:type="dxa" w:w="2340"/>
            <w:tcMar>
              <w:top w:w="40" w:type="dxa"/>
              <w:bottom w:w="40" w:type="dxa"/>
              <w:left w:w="60" w:type="dxa"/>
              <w:right w:w="60" w:type="dxa"/>
            </w:tcMar>
          </w:tcPr>
          <w:p>
            <w:r>
              <w:rPr>
                <w:sz w:val="14"/>
              </w:rPr>
              <w:t>Computer Graphics Forum</w:t>
            </w:r>
          </w:p>
        </w:tc>
        <w:tc>
          <w:tcPr>
            <w:tcW w:type="dxa" w:w="2340"/>
            <w:tcMar>
              <w:top w:w="40" w:type="dxa"/>
              <w:bottom w:w="40" w:type="dxa"/>
              <w:left w:w="60" w:type="dxa"/>
              <w:right w:w="60" w:type="dxa"/>
            </w:tcMar>
          </w:tcPr>
          <w:p>
            <w:r>
              <w:rPr>
                <w:sz w:val="14"/>
              </w:rPr>
              <w:t>Formulated inverse radiative thermal simulation using precomputed light transport matrices.</w:t>
            </w:r>
          </w:p>
        </w:tc>
        <w:tc>
          <w:tcPr>
            <w:tcW w:type="dxa" w:w="2340"/>
            <w:tcMar>
              <w:top w:w="40" w:type="dxa"/>
              <w:bottom w:w="40" w:type="dxa"/>
              <w:left w:w="60" w:type="dxa"/>
              <w:right w:w="60" w:type="dxa"/>
            </w:tcMar>
          </w:tcPr>
          <w:p>
            <w:r>
              <w:rPr>
                <w:sz w:val="14"/>
              </w:rPr>
              <w:t>Optimized surface thermal material placement; did not address real-time pedestrian comfort metrics.</w:t>
            </w:r>
          </w:p>
        </w:tc>
      </w:tr>
      <w:tr>
        <w:tc>
          <w:tcPr>
            <w:tcW w:type="dxa" w:w="2340"/>
            <w:tcMar>
              <w:top w:w="40" w:type="dxa"/>
              <w:bottom w:w="40" w:type="dxa"/>
              <w:left w:w="60" w:type="dxa"/>
              <w:right w:w="60" w:type="dxa"/>
            </w:tcMar>
            <w:shd w:fill="FAFAFA"/>
          </w:tcPr>
          <w:p>
            <w:r>
              <w:rPr>
                <w:sz w:val="14"/>
              </w:rPr>
              <w:t>Bourquin et al. (2025)</w:t>
            </w:r>
          </w:p>
        </w:tc>
        <w:tc>
          <w:tcPr>
            <w:tcW w:type="dxa" w:w="2340"/>
            <w:tcMar>
              <w:top w:w="40" w:type="dxa"/>
              <w:bottom w:w="40" w:type="dxa"/>
              <w:left w:w="60" w:type="dxa"/>
              <w:right w:w="60" w:type="dxa"/>
            </w:tcMar>
            <w:shd w:fill="FAFAFA"/>
          </w:tcPr>
          <w:p>
            <w:r>
              <w:rPr>
                <w:sz w:val="14"/>
              </w:rPr>
              <w:t>IBPSA Proceedings</w:t>
            </w:r>
          </w:p>
        </w:tc>
        <w:tc>
          <w:tcPr>
            <w:tcW w:type="dxa" w:w="2340"/>
            <w:tcMar>
              <w:top w:w="40" w:type="dxa"/>
              <w:bottom w:w="40" w:type="dxa"/>
              <w:left w:w="60" w:type="dxa"/>
              <w:right w:w="60" w:type="dxa"/>
            </w:tcMar>
            <w:shd w:fill="FAFAFA"/>
          </w:tcPr>
          <w:p>
            <w:r>
              <w:rPr>
                <w:sz w:val="14"/>
              </w:rPr>
              <w:t>Coupled mesoscale boundary forcings with microscale street canyon geometry for energy modeling.</w:t>
            </w:r>
          </w:p>
        </w:tc>
        <w:tc>
          <w:tcPr>
            <w:tcW w:type="dxa" w:w="2340"/>
            <w:tcMar>
              <w:top w:w="40" w:type="dxa"/>
              <w:bottom w:w="40" w:type="dxa"/>
              <w:left w:w="60" w:type="dxa"/>
              <w:right w:w="60" w:type="dxa"/>
            </w:tcMar>
            <w:shd w:fill="FAFAFA"/>
          </w:tcPr>
          <w:p>
            <w:r>
              <w:rPr>
                <w:sz w:val="14"/>
              </w:rPr>
              <w:t>Refined street-level boundary temperatures; lacked automated canopy placement optimization.</w:t>
            </w:r>
          </w:p>
        </w:tc>
      </w:tr>
      <w:tr>
        <w:tc>
          <w:tcPr>
            <w:tcW w:type="dxa" w:w="2340"/>
            <w:tcMar>
              <w:top w:w="40" w:type="dxa"/>
              <w:bottom w:w="40" w:type="dxa"/>
              <w:left w:w="60" w:type="dxa"/>
              <w:right w:w="60" w:type="dxa"/>
            </w:tcMar>
          </w:tcPr>
          <w:p>
            <w:r>
              <w:rPr>
                <w:sz w:val="14"/>
              </w:rPr>
              <w:t>Rayegan et al. (2025)</w:t>
            </w:r>
          </w:p>
        </w:tc>
        <w:tc>
          <w:tcPr>
            <w:tcW w:type="dxa" w:w="2340"/>
            <w:tcMar>
              <w:top w:w="40" w:type="dxa"/>
              <w:bottom w:w="40" w:type="dxa"/>
              <w:left w:w="60" w:type="dxa"/>
              <w:right w:w="60" w:type="dxa"/>
            </w:tcMar>
          </w:tcPr>
          <w:p>
            <w:r>
              <w:rPr>
                <w:sz w:val="14"/>
              </w:rPr>
              <w:t>Building and Environment</w:t>
            </w:r>
          </w:p>
        </w:tc>
        <w:tc>
          <w:tcPr>
            <w:tcW w:type="dxa" w:w="2340"/>
            <w:tcMar>
              <w:top w:w="40" w:type="dxa"/>
              <w:bottom w:w="40" w:type="dxa"/>
              <w:left w:w="60" w:type="dxa"/>
              <w:right w:w="60" w:type="dxa"/>
            </w:tcMar>
          </w:tcPr>
          <w:p>
            <w:r>
              <w:rPr>
                <w:sz w:val="14"/>
              </w:rPr>
              <w:t>Developed 3D ray tracing-based direct solar shading model for building envelopes.</w:t>
            </w:r>
          </w:p>
        </w:tc>
        <w:tc>
          <w:tcPr>
            <w:tcW w:type="dxa" w:w="2340"/>
            <w:tcMar>
              <w:top w:w="40" w:type="dxa"/>
              <w:bottom w:w="40" w:type="dxa"/>
              <w:left w:w="60" w:type="dxa"/>
              <w:right w:w="60" w:type="dxa"/>
            </w:tcMar>
          </w:tcPr>
          <w:p>
            <w:r>
              <w:rPr>
                <w:sz w:val="14"/>
              </w:rPr>
              <w:t>Accurately resolved complex building shadows; evaluated static annual steps without active learning.</w:t>
            </w:r>
          </w:p>
        </w:tc>
      </w:tr>
      <w:tr>
        <w:tc>
          <w:tcPr>
            <w:tcW w:type="dxa" w:w="2340"/>
            <w:tcMar>
              <w:top w:w="40" w:type="dxa"/>
              <w:bottom w:w="40" w:type="dxa"/>
              <w:left w:w="60" w:type="dxa"/>
              <w:right w:w="60" w:type="dxa"/>
            </w:tcMar>
            <w:shd w:fill="FAFAFA"/>
          </w:tcPr>
          <w:p>
            <w:r>
              <w:rPr>
                <w:sz w:val="14"/>
              </w:rPr>
              <w:t>Tao et al. (2025)</w:t>
            </w:r>
          </w:p>
        </w:tc>
        <w:tc>
          <w:tcPr>
            <w:tcW w:type="dxa" w:w="2340"/>
            <w:tcMar>
              <w:top w:w="40" w:type="dxa"/>
              <w:bottom w:w="40" w:type="dxa"/>
              <w:left w:w="60" w:type="dxa"/>
              <w:right w:w="60" w:type="dxa"/>
            </w:tcMar>
            <w:shd w:fill="FAFAFA"/>
          </w:tcPr>
          <w:p>
            <w:r>
              <w:rPr>
                <w:sz w:val="14"/>
              </w:rPr>
              <w:t>Renewable and Sustainable Energy Reviews</w:t>
            </w:r>
          </w:p>
        </w:tc>
        <w:tc>
          <w:tcPr>
            <w:tcW w:type="dxa" w:w="2340"/>
            <w:tcMar>
              <w:top w:w="40" w:type="dxa"/>
              <w:bottom w:w="40" w:type="dxa"/>
              <w:left w:w="60" w:type="dxa"/>
              <w:right w:w="60" w:type="dxa"/>
            </w:tcMar>
            <w:shd w:fill="FAFAFA"/>
          </w:tcPr>
          <w:p>
            <w:r>
              <w:rPr>
                <w:sz w:val="14"/>
              </w:rPr>
              <w:t>Systematically reviewed CFD and machine learning integration for urban green infrastructure.</w:t>
            </w:r>
          </w:p>
        </w:tc>
        <w:tc>
          <w:tcPr>
            <w:tcW w:type="dxa" w:w="2340"/>
            <w:tcMar>
              <w:top w:w="40" w:type="dxa"/>
              <w:bottom w:w="40" w:type="dxa"/>
              <w:left w:w="60" w:type="dxa"/>
              <w:right w:w="60" w:type="dxa"/>
            </w:tcMar>
            <w:shd w:fill="FAFAFA"/>
          </w:tcPr>
          <w:p>
            <w:r>
              <w:rPr>
                <w:sz w:val="14"/>
              </w:rPr>
              <w:t>Highlighted high surrogate speedup; noted severe surrogate degradation outside training envelopes.</w:t>
            </w:r>
          </w:p>
        </w:tc>
      </w:tr>
      <w:tr>
        <w:tc>
          <w:tcPr>
            <w:tcW w:type="dxa" w:w="2340"/>
            <w:tcMar>
              <w:top w:w="40" w:type="dxa"/>
              <w:bottom w:w="40" w:type="dxa"/>
              <w:left w:w="60" w:type="dxa"/>
              <w:right w:w="60" w:type="dxa"/>
            </w:tcMar>
          </w:tcPr>
          <w:p>
            <w:r>
              <w:rPr>
                <w:sz w:val="14"/>
              </w:rPr>
              <w:t>Yuan et al. (2025)</w:t>
            </w:r>
          </w:p>
        </w:tc>
        <w:tc>
          <w:tcPr>
            <w:tcW w:type="dxa" w:w="2340"/>
            <w:tcMar>
              <w:top w:w="40" w:type="dxa"/>
              <w:bottom w:w="40" w:type="dxa"/>
              <w:left w:w="60" w:type="dxa"/>
              <w:right w:w="60" w:type="dxa"/>
            </w:tcMar>
          </w:tcPr>
          <w:p>
            <w:r>
              <w:rPr>
                <w:sz w:val="14"/>
              </w:rPr>
              <w:t>Discover Cities</w:t>
            </w:r>
          </w:p>
        </w:tc>
        <w:tc>
          <w:tcPr>
            <w:tcW w:type="dxa" w:w="2340"/>
            <w:tcMar>
              <w:top w:w="40" w:type="dxa"/>
              <w:bottom w:w="40" w:type="dxa"/>
              <w:left w:w="60" w:type="dxa"/>
              <w:right w:w="60" w:type="dxa"/>
            </w:tcMar>
          </w:tcPr>
          <w:p>
            <w:r>
              <w:rPr>
                <w:sz w:val="14"/>
              </w:rPr>
              <w:t>Simulated retro-reflective pavement materials to mitigate canyon radiant heat trapping.</w:t>
            </w:r>
          </w:p>
        </w:tc>
        <w:tc>
          <w:tcPr>
            <w:tcW w:type="dxa" w:w="2340"/>
            <w:tcMar>
              <w:top w:w="40" w:type="dxa"/>
              <w:bottom w:w="40" w:type="dxa"/>
              <w:left w:w="60" w:type="dxa"/>
              <w:right w:w="60" w:type="dxa"/>
            </w:tcMar>
          </w:tcPr>
          <w:p>
            <w:r>
              <w:rPr>
                <w:sz w:val="14"/>
              </w:rPr>
              <w:t>Demonstrated shortwave trapping reduction; evaluated uniform materials rather than localized canopies.</w:t>
            </w:r>
          </w:p>
        </w:tc>
      </w:tr>
      <w:tr>
        <w:tc>
          <w:tcPr>
            <w:tcW w:type="dxa" w:w="2340"/>
            <w:tcMar>
              <w:top w:w="40" w:type="dxa"/>
              <w:bottom w:w="40" w:type="dxa"/>
              <w:left w:w="60" w:type="dxa"/>
              <w:right w:w="60" w:type="dxa"/>
            </w:tcMar>
            <w:shd w:fill="FAFAFA"/>
          </w:tcPr>
          <w:p>
            <w:r>
              <w:rPr>
                <w:sz w:val="14"/>
              </w:rPr>
              <w:t>Do et al. (2024)</w:t>
            </w:r>
          </w:p>
        </w:tc>
        <w:tc>
          <w:tcPr>
            <w:tcW w:type="dxa" w:w="2340"/>
            <w:tcMar>
              <w:top w:w="40" w:type="dxa"/>
              <w:bottom w:w="40" w:type="dxa"/>
              <w:left w:w="60" w:type="dxa"/>
              <w:right w:w="60" w:type="dxa"/>
            </w:tcMar>
            <w:shd w:fill="FAFAFA"/>
          </w:tcPr>
          <w:p>
            <w:r>
              <w:rPr>
                <w:sz w:val="14"/>
              </w:rPr>
              <w:t>Earth Science Informatics</w:t>
            </w:r>
          </w:p>
        </w:tc>
        <w:tc>
          <w:tcPr>
            <w:tcW w:type="dxa" w:w="2340"/>
            <w:tcMar>
              <w:top w:w="40" w:type="dxa"/>
              <w:bottom w:w="40" w:type="dxa"/>
              <w:left w:w="60" w:type="dxa"/>
              <w:right w:w="60" w:type="dxa"/>
            </w:tcMar>
            <w:shd w:fill="FAFAFA"/>
          </w:tcPr>
          <w:p>
            <w:r>
              <w:rPr>
                <w:sz w:val="14"/>
              </w:rPr>
              <w:t>Mapped urban heat dynamics using interpretable machine learning and remote sensing.</w:t>
            </w:r>
          </w:p>
        </w:tc>
        <w:tc>
          <w:tcPr>
            <w:tcW w:type="dxa" w:w="2340"/>
            <w:tcMar>
              <w:top w:w="40" w:type="dxa"/>
              <w:bottom w:w="40" w:type="dxa"/>
              <w:left w:w="60" w:type="dxa"/>
              <w:right w:w="60" w:type="dxa"/>
            </w:tcMar>
            <w:shd w:fill="FAFAFA"/>
          </w:tcPr>
          <w:p>
            <w:r>
              <w:rPr>
                <w:sz w:val="14"/>
              </w:rPr>
              <w:t>Provided city-scale thermal vulnerability mapping; lacked sub-meter building ray-tracing physics.</w:t>
            </w:r>
          </w:p>
        </w:tc>
      </w:tr>
      <w:tr>
        <w:tc>
          <w:tcPr>
            <w:tcW w:type="dxa" w:w="2340"/>
            <w:tcMar>
              <w:top w:w="40" w:type="dxa"/>
              <w:bottom w:w="40" w:type="dxa"/>
              <w:left w:w="60" w:type="dxa"/>
              <w:right w:w="60" w:type="dxa"/>
            </w:tcMar>
          </w:tcPr>
          <w:p>
            <w:r>
              <w:rPr>
                <w:sz w:val="14"/>
              </w:rPr>
              <w:t>Chen et al. (2024)</w:t>
            </w:r>
          </w:p>
        </w:tc>
        <w:tc>
          <w:tcPr>
            <w:tcW w:type="dxa" w:w="2340"/>
            <w:tcMar>
              <w:top w:w="40" w:type="dxa"/>
              <w:bottom w:w="40" w:type="dxa"/>
              <w:left w:w="60" w:type="dxa"/>
              <w:right w:w="60" w:type="dxa"/>
            </w:tcMar>
          </w:tcPr>
          <w:p>
            <w:r>
              <w:rPr>
                <w:sz w:val="14"/>
              </w:rPr>
              <w:t>Landscape and Urban Planning</w:t>
            </w:r>
          </w:p>
        </w:tc>
        <w:tc>
          <w:tcPr>
            <w:tcW w:type="dxa" w:w="2340"/>
            <w:tcMar>
              <w:top w:w="40" w:type="dxa"/>
              <w:bottom w:w="40" w:type="dxa"/>
              <w:left w:w="60" w:type="dxa"/>
              <w:right w:w="60" w:type="dxa"/>
            </w:tcMar>
          </w:tcPr>
          <w:p>
            <w:r>
              <w:rPr>
                <w:sz w:val="14"/>
              </w:rPr>
              <w:t>Evaluated fast microclimate modeling for spatial planning of urban green and blue spaces.</w:t>
            </w:r>
          </w:p>
        </w:tc>
        <w:tc>
          <w:tcPr>
            <w:tcW w:type="dxa" w:w="2340"/>
            <w:tcMar>
              <w:top w:w="40" w:type="dxa"/>
              <w:bottom w:w="40" w:type="dxa"/>
              <w:left w:w="60" w:type="dxa"/>
              <w:right w:w="60" w:type="dxa"/>
            </w:tcMar>
          </w:tcPr>
          <w:p>
            <w:r>
              <w:rPr>
                <w:sz w:val="14"/>
              </w:rPr>
              <w:t>Proved planning utility of fast radiation approximations; discarded spatial states on intervention edits.</w:t>
            </w:r>
          </w:p>
        </w:tc>
      </w:tr>
      <w:tr>
        <w:tc>
          <w:tcPr>
            <w:tcW w:type="dxa" w:w="2340"/>
            <w:tcMar>
              <w:top w:w="40" w:type="dxa"/>
              <w:bottom w:w="40" w:type="dxa"/>
              <w:left w:w="60" w:type="dxa"/>
              <w:right w:w="60" w:type="dxa"/>
            </w:tcMar>
            <w:shd w:fill="FAFAFA"/>
          </w:tcPr>
          <w:p>
            <w:r>
              <w:rPr>
                <w:sz w:val="14"/>
              </w:rPr>
              <w:t>Qin et al. (2024)</w:t>
            </w:r>
          </w:p>
        </w:tc>
        <w:tc>
          <w:tcPr>
            <w:tcW w:type="dxa" w:w="2340"/>
            <w:tcMar>
              <w:top w:w="40" w:type="dxa"/>
              <w:bottom w:w="40" w:type="dxa"/>
              <w:left w:w="60" w:type="dxa"/>
              <w:right w:w="60" w:type="dxa"/>
            </w:tcMar>
            <w:shd w:fill="FAFAFA"/>
          </w:tcPr>
          <w:p>
            <w:r>
              <w:rPr>
                <w:sz w:val="14"/>
              </w:rPr>
              <w:t>Building and Environment</w:t>
            </w:r>
          </w:p>
        </w:tc>
        <w:tc>
          <w:tcPr>
            <w:tcW w:type="dxa" w:w="2340"/>
            <w:tcMar>
              <w:top w:w="40" w:type="dxa"/>
              <w:bottom w:w="40" w:type="dxa"/>
              <w:left w:w="60" w:type="dxa"/>
              <w:right w:w="60" w:type="dxa"/>
            </w:tcMar>
            <w:shd w:fill="FAFAFA"/>
          </w:tcPr>
          <w:p>
            <w:r>
              <w:rPr>
                <w:sz w:val="14"/>
              </w:rPr>
              <w:t>Modeled multivariable 3D microclimates using localized Fourier Neural Operators.</w:t>
            </w:r>
          </w:p>
        </w:tc>
        <w:tc>
          <w:tcPr>
            <w:tcW w:type="dxa" w:w="2340"/>
            <w:tcMar>
              <w:top w:w="40" w:type="dxa"/>
              <w:bottom w:w="40" w:type="dxa"/>
              <w:left w:w="60" w:type="dxa"/>
              <w:right w:w="60" w:type="dxa"/>
            </w:tcMar>
            <w:shd w:fill="FAFAFA"/>
          </w:tcPr>
          <w:p>
            <w:r>
              <w:rPr>
                <w:sz w:val="14"/>
              </w:rPr>
              <w:t>Near real-time 3D field prediction; surrogates exhibited uncertified extrapolation errors.</w:t>
            </w:r>
          </w:p>
        </w:tc>
      </w:tr>
      <w:tr>
        <w:tc>
          <w:tcPr>
            <w:tcW w:type="dxa" w:w="2340"/>
            <w:tcMar>
              <w:top w:w="40" w:type="dxa"/>
              <w:bottom w:w="40" w:type="dxa"/>
              <w:left w:w="60" w:type="dxa"/>
              <w:right w:w="60" w:type="dxa"/>
            </w:tcMar>
          </w:tcPr>
          <w:p>
            <w:r>
              <w:rPr>
                <w:sz w:val="14"/>
              </w:rPr>
              <w:t>Freude et al. (2023)</w:t>
            </w:r>
          </w:p>
        </w:tc>
        <w:tc>
          <w:tcPr>
            <w:tcW w:type="dxa" w:w="2340"/>
            <w:tcMar>
              <w:top w:w="40" w:type="dxa"/>
              <w:bottom w:w="40" w:type="dxa"/>
              <w:left w:w="60" w:type="dxa"/>
              <w:right w:w="60" w:type="dxa"/>
            </w:tcMar>
          </w:tcPr>
          <w:p>
            <w:r>
              <w:rPr>
                <w:sz w:val="14"/>
              </w:rPr>
              <w:t>Computer Graphics Forum</w:t>
            </w:r>
          </w:p>
        </w:tc>
        <w:tc>
          <w:tcPr>
            <w:tcW w:type="dxa" w:w="2340"/>
            <w:tcMar>
              <w:top w:w="40" w:type="dxa"/>
              <w:bottom w:w="40" w:type="dxa"/>
              <w:left w:w="60" w:type="dxa"/>
              <w:right w:w="60" w:type="dxa"/>
            </w:tcMar>
          </w:tcPr>
          <w:p>
            <w:r>
              <w:rPr>
                <w:sz w:val="14"/>
              </w:rPr>
              <w:t>Precomputed radiative heat transport matrices to accelerate dynamic thermal simulations.</w:t>
            </w:r>
          </w:p>
        </w:tc>
        <w:tc>
          <w:tcPr>
            <w:tcW w:type="dxa" w:w="2340"/>
            <w:tcMar>
              <w:top w:w="40" w:type="dxa"/>
              <w:bottom w:w="40" w:type="dxa"/>
              <w:left w:w="60" w:type="dxa"/>
              <w:right w:w="60" w:type="dxa"/>
            </w:tcMar>
          </w:tcPr>
          <w:p>
            <w:r>
              <w:rPr>
                <w:sz w:val="14"/>
              </w:rPr>
              <w:t>Drastically sped up stationary geometries; alterations required full matrix recomputation.</w:t>
            </w:r>
          </w:p>
        </w:tc>
      </w:tr>
      <w:tr>
        <w:tc>
          <w:tcPr>
            <w:tcW w:type="dxa" w:w="2340"/>
            <w:tcMar>
              <w:top w:w="40" w:type="dxa"/>
              <w:bottom w:w="40" w:type="dxa"/>
              <w:left w:w="60" w:type="dxa"/>
              <w:right w:w="60" w:type="dxa"/>
            </w:tcMar>
            <w:shd w:fill="FAFAFA"/>
          </w:tcPr>
          <w:p>
            <w:r>
              <w:rPr>
                <w:sz w:val="14"/>
              </w:rPr>
              <w:t>Nguyen et al. (2023)</w:t>
            </w:r>
          </w:p>
        </w:tc>
        <w:tc>
          <w:tcPr>
            <w:tcW w:type="dxa" w:w="2340"/>
            <w:tcMar>
              <w:top w:w="40" w:type="dxa"/>
              <w:bottom w:w="40" w:type="dxa"/>
              <w:left w:w="60" w:type="dxa"/>
              <w:right w:w="60" w:type="dxa"/>
            </w:tcMar>
            <w:shd w:fill="FAFAFA"/>
          </w:tcPr>
          <w:p>
            <w:r>
              <w:rPr>
                <w:sz w:val="14"/>
              </w:rPr>
              <w:t>Earth Science Informatics</w:t>
            </w:r>
          </w:p>
        </w:tc>
        <w:tc>
          <w:tcPr>
            <w:tcW w:type="dxa" w:w="2340"/>
            <w:tcMar>
              <w:top w:w="40" w:type="dxa"/>
              <w:bottom w:w="40" w:type="dxa"/>
              <w:left w:w="60" w:type="dxa"/>
              <w:right w:w="60" w:type="dxa"/>
            </w:tcMar>
            <w:shd w:fill="FAFAFA"/>
          </w:tcPr>
          <w:p>
            <w:r>
              <w:rPr>
                <w:sz w:val="14"/>
              </w:rPr>
              <w:t>Developed mathematical multicriteria model for temperature-reducing potential of green spaces.</w:t>
            </w:r>
          </w:p>
        </w:tc>
        <w:tc>
          <w:tcPr>
            <w:tcW w:type="dxa" w:w="2340"/>
            <w:tcMar>
              <w:top w:w="40" w:type="dxa"/>
              <w:bottom w:w="40" w:type="dxa"/>
              <w:left w:w="60" w:type="dxa"/>
              <w:right w:w="60" w:type="dxa"/>
            </w:tcMar>
            <w:shd w:fill="FAFAFA"/>
          </w:tcPr>
          <w:p>
            <w:r>
              <w:rPr>
                <w:sz w:val="14"/>
              </w:rPr>
              <w:t>Ranked spatial intervention priorities; relied on empirical indices rather than 6-flux Stefan–Boltzmann physics.</w:t>
            </w:r>
          </w:p>
        </w:tc>
      </w:tr>
    </w:tbl>
    <w:p>
      <w:pPr>
        <w:spacing w:before="80" w:after="280"/>
      </w:pPr>
      <w:r>
        <w:rPr>
          <w:i/>
          <w:sz w:val="17"/>
        </w:rPr>
        <w:t>Table 1. Systematic literature review of microclimate modelling, GPU acceleration, and optimization platforms.</w:t>
      </w:r>
    </w:p>
    <w:p>
      <w:pPr>
        <w:pStyle w:val="Heading2"/>
      </w:pPr>
      <w:r>
        <w:rPr>
          <w:b/>
          <w:color w:val="003366"/>
          <w:sz w:val="22"/>
        </w:rPr>
        <w:t>2.1 Radiative Transfer Modeling and Decoupled Microclimate Engines</w:t>
      </w:r>
    </w:p>
    <w:p>
      <w:r>
        <w:t>Urban microclimates have historically been simulated using coupled formulations like ENVI-met (Bruse and Fleer 1998) and PALM-4U (Eingrüber et al. 2025). While physically comprehensive, full Navier–Stokes fluid simulations require hours on multi-core clusters per diurnal cycle, making iterative design impractical (Krayenhoff et al. 2021). Decoupled radiation models like SOLWEIG (Lindberg et al. 2008, 2018) resolve this by computing shortwave and longwave fluxes separately from airflow, evaluating pedestrian thermal comfort in seconds. Recent studies have extended decoupled modeling to solar shading (Rayegan et al. 2025), urban canyons (Bourquin et al. 2025), retroreflective pavements (Yuan et al. 2025), and vegetative cooling (Baia et al. 2026; Chen et al. 2024). However, existing engines recompute the entire domain from scratch whenever a local intervention (such as a fabric canopy or tree) is introduced.</w:t>
      </w:r>
    </w:p>
    <w:p>
      <w:pPr>
        <w:pStyle w:val="Heading2"/>
      </w:pPr>
      <w:r>
        <w:rPr>
          <w:b/>
          <w:color w:val="003366"/>
          <w:sz w:val="22"/>
        </w:rPr>
        <w:t>2.2 GPU Acceleration and Precomputed Transport Models</w:t>
      </w:r>
    </w:p>
    <w:p>
      <w:r>
        <w:t>To speed up big simulations, recent approaches have made use of GPU parallelization. Kamath et al. (2026) created SOLWEIG-GPU for comfort simulation on the city scale through CUDA ray marching, whereas Mei et al. (2025) created GUST1.0 for surface energy balance calculations with GPU, and Nguyen et al. (2023) employed geospatial parallel algorithms. In computer graphics, Freude et al. (2023, 2025) utilized pre-computed transport matrices of radiative transport in order to simulate dynamic thermal exchange in real-time. Nevertheless, pre-computed matrices assume static geometry; by adding even just one canopy, the whole model becomes outdated. Hence, existing GPU approaches accelerate full recalculation, but do not utilize unaffected cells incrementally.</w:t>
      </w:r>
    </w:p>
    <w:p>
      <w:pPr>
        <w:pStyle w:val="Heading2"/>
      </w:pPr>
      <w:r>
        <w:rPr>
          <w:b/>
          <w:color w:val="003366"/>
          <w:sz w:val="22"/>
        </w:rPr>
        <w:t>2.3 Machine Learning Surrogates and Active Optimization</w:t>
      </w:r>
    </w:p>
    <w:p>
      <w:r>
        <w:t>Surrogate modeling has also emerged to bypass heavy physics simulations (Do et al. 2024; Tao et al. 2025). For example, Qin et al. (2024) used localized Fourier Neural Operators to predict 3D microclimate fields in milliseconds. Yet neural surrogates lack certified physical error bounds and struggle with sharp shadow boundaries in complex canyons (Tao et al. 2025). While Bayesian active learning balances exploration and exploitation, it still requires an underlying physics engine that can evaluate candidate designs in sub-second time with verified numerical accuracy.</w:t>
      </w:r>
    </w:p>
    <w:p>
      <w:pPr>
        <w:pStyle w:val="Heading2"/>
      </w:pPr>
      <w:r>
        <w:rPr>
          <w:b/>
          <w:color w:val="003366"/>
          <w:sz w:val="22"/>
        </w:rPr>
        <w:t>2.4 Identified Research Gap</w:t>
      </w:r>
    </w:p>
    <w:p>
      <w:r>
        <w:t>In summary, current decoupled physics engines offer validated biometeorological accuracy but suffer from monolithic recalculation overhead. Conversely, precomputed transport matrices and neural surrogates offer real-time speeds but break under geometric modifications or lack physical error guarantees. A framework that unites mathematically certified incremental radiative transfer with resident GPU acceleration and active canopy optimization has been missing. Solaraeus directly fills this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50" w:type="dxa"/>
              <w:bottom w:w="50" w:type="dxa"/>
              <w:left w:w="60" w:type="dxa"/>
              <w:right w:w="60" w:type="dxa"/>
            </w:tcMar>
          </w:tcPr>
          <w:p>
            <w:r>
              <w:rPr>
                <w:b/>
                <w:sz w:val="15"/>
              </w:rPr>
              <w:t>Study Area</w:t>
            </w:r>
          </w:p>
        </w:tc>
        <w:tc>
          <w:tcPr>
            <w:tcW w:type="dxa" w:w="1560"/>
            <w:shd w:fill="EAEAEA"/>
            <w:tcMar>
              <w:top w:w="50" w:type="dxa"/>
              <w:bottom w:w="50" w:type="dxa"/>
              <w:left w:w="60" w:type="dxa"/>
              <w:right w:w="60" w:type="dxa"/>
            </w:tcMar>
          </w:tcPr>
          <w:p>
            <w:r>
              <w:rPr>
                <w:b/>
                <w:sz w:val="15"/>
              </w:rPr>
              <w:t>Layer</w:t>
            </w:r>
          </w:p>
        </w:tc>
        <w:tc>
          <w:tcPr>
            <w:tcW w:type="dxa" w:w="1560"/>
            <w:shd w:fill="EAEAEA"/>
            <w:tcMar>
              <w:top w:w="50" w:type="dxa"/>
              <w:bottom w:w="50" w:type="dxa"/>
              <w:left w:w="60" w:type="dxa"/>
              <w:right w:w="60" w:type="dxa"/>
            </w:tcMar>
          </w:tcPr>
          <w:p>
            <w:r>
              <w:rPr>
                <w:b/>
                <w:sz w:val="15"/>
              </w:rPr>
              <w:t>Dataset &amp; Source Authority</w:t>
            </w:r>
          </w:p>
        </w:tc>
        <w:tc>
          <w:tcPr>
            <w:tcW w:type="dxa" w:w="1560"/>
            <w:shd w:fill="EAEAEA"/>
            <w:tcMar>
              <w:top w:w="50" w:type="dxa"/>
              <w:bottom w:w="50" w:type="dxa"/>
              <w:left w:w="60" w:type="dxa"/>
              <w:right w:w="60" w:type="dxa"/>
            </w:tcMar>
          </w:tcPr>
          <w:p>
            <w:r>
              <w:rPr>
                <w:b/>
                <w:sz w:val="15"/>
              </w:rPr>
              <w:t>Repository / Access Link</w:t>
            </w:r>
          </w:p>
        </w:tc>
        <w:tc>
          <w:tcPr>
            <w:tcW w:type="dxa" w:w="1560"/>
            <w:shd w:fill="EAEAEA"/>
            <w:tcMar>
              <w:top w:w="50" w:type="dxa"/>
              <w:bottom w:w="50" w:type="dxa"/>
              <w:left w:w="60" w:type="dxa"/>
              <w:right w:w="60" w:type="dxa"/>
            </w:tcMar>
          </w:tcPr>
          <w:p>
            <w:r>
              <w:rPr>
                <w:b/>
                <w:sz w:val="15"/>
              </w:rPr>
              <w:t>Licence</w:t>
            </w:r>
          </w:p>
        </w:tc>
        <w:tc>
          <w:tcPr>
            <w:tcW w:type="dxa" w:w="1560"/>
            <w:shd w:fill="EAEAEA"/>
            <w:tcMar>
              <w:top w:w="50" w:type="dxa"/>
              <w:bottom w:w="50" w:type="dxa"/>
              <w:left w:w="60" w:type="dxa"/>
              <w:right w:w="60" w:type="dxa"/>
            </w:tcMar>
          </w:tcPr>
          <w:p>
            <w:r>
              <w:rPr>
                <w:b/>
                <w:sz w:val="15"/>
              </w:rPr>
              <w:t>Access Date</w:t>
            </w:r>
          </w:p>
        </w:tc>
      </w:tr>
      <w:tr>
        <w:tc>
          <w:tcPr>
            <w:tcW w:type="dxa" w:w="1560"/>
            <w:tcMar>
              <w:top w:w="35" w:type="dxa"/>
              <w:bottom w:w="35" w:type="dxa"/>
              <w:left w:w="50" w:type="dxa"/>
              <w:right w:w="50" w:type="dxa"/>
            </w:tcMar>
          </w:tcPr>
          <w:p>
            <w:r>
              <w:rPr>
                <w:sz w:val="13"/>
              </w:rPr>
              <w:t>Berlin</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Geoportal Berlin LoD2 CityGML (Senatsverwaltung für Stadtentwicklung)</w:t>
            </w:r>
          </w:p>
        </w:tc>
        <w:tc>
          <w:tcPr>
            <w:tcW w:type="dxa" w:w="1560"/>
            <w:tcMar>
              <w:top w:w="35" w:type="dxa"/>
              <w:bottom w:w="35" w:type="dxa"/>
              <w:left w:w="50" w:type="dxa"/>
              <w:right w:w="50" w:type="dxa"/>
            </w:tcMar>
          </w:tcPr>
          <w:p>
            <w:r>
              <w:rPr>
                <w:sz w:val="13"/>
              </w:rPr>
              <w:t>https://daten.berlin.de/datensaetze/geoportal-berlin-3d-gebaeudedaten</w:t>
            </w:r>
          </w:p>
        </w:tc>
        <w:tc>
          <w:tcPr>
            <w:tcW w:type="dxa" w:w="1560"/>
            <w:tcMar>
              <w:top w:w="35" w:type="dxa"/>
              <w:bottom w:w="35" w:type="dxa"/>
              <w:left w:w="50" w:type="dxa"/>
              <w:right w:w="50" w:type="dxa"/>
            </w:tcMar>
          </w:tcPr>
          <w:p>
            <w:r>
              <w:rPr>
                <w:sz w:val="13"/>
              </w:rPr>
              <w:t>dl-de/by-2-0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Berlin</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Digitales Geländemodell DGM 1m (Geoportal Berlin)</w:t>
            </w:r>
          </w:p>
        </w:tc>
        <w:tc>
          <w:tcPr>
            <w:tcW w:type="dxa" w:w="1560"/>
            <w:tcMar>
              <w:top w:w="35" w:type="dxa"/>
              <w:bottom w:w="35" w:type="dxa"/>
              <w:left w:w="50" w:type="dxa"/>
              <w:right w:w="50" w:type="dxa"/>
            </w:tcMar>
            <w:shd w:fill="FAFAFA"/>
          </w:tcPr>
          <w:p>
            <w:r>
              <w:rPr>
                <w:sz w:val="13"/>
              </w:rPr>
              <w:t>https://daten.berlin.de/datensaetze/digitales-gelaendemodell-dgm-1-m</w:t>
            </w:r>
          </w:p>
        </w:tc>
        <w:tc>
          <w:tcPr>
            <w:tcW w:type="dxa" w:w="1560"/>
            <w:tcMar>
              <w:top w:w="35" w:type="dxa"/>
              <w:bottom w:w="35" w:type="dxa"/>
              <w:left w:w="50" w:type="dxa"/>
              <w:right w:w="50" w:type="dxa"/>
            </w:tcMar>
            <w:shd w:fill="FAFAFA"/>
          </w:tcPr>
          <w:p>
            <w:r>
              <w:rPr>
                <w:sz w:val="13"/>
              </w:rPr>
              <w:t>dl-de/by-2-0</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Berlin</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Baumbestand Berlin – Straßenbäume (16 roadside Tilia cordata)</w:t>
            </w:r>
          </w:p>
        </w:tc>
        <w:tc>
          <w:tcPr>
            <w:tcW w:type="dxa" w:w="1560"/>
            <w:tcMar>
              <w:top w:w="35" w:type="dxa"/>
              <w:bottom w:w="35" w:type="dxa"/>
              <w:left w:w="50" w:type="dxa"/>
              <w:right w:w="50" w:type="dxa"/>
            </w:tcMar>
          </w:tcPr>
          <w:p>
            <w:r>
              <w:rPr>
                <w:sz w:val="13"/>
              </w:rPr>
              <w:t>https://daten.berlin.de/datensaetze/baumbestand-berlin-strassenbaeume</w:t>
            </w:r>
          </w:p>
        </w:tc>
        <w:tc>
          <w:tcPr>
            <w:tcW w:type="dxa" w:w="1560"/>
            <w:tcMar>
              <w:top w:w="35" w:type="dxa"/>
              <w:bottom w:w="35" w:type="dxa"/>
              <w:left w:w="50" w:type="dxa"/>
              <w:right w:w="50" w:type="dxa"/>
            </w:tcMar>
          </w:tcPr>
          <w:p>
            <w:r>
              <w:rPr>
                <w:sz w:val="13"/>
              </w:rPr>
              <w:t>dl-de/by-2-0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Berlin</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DWD Station 00433 Tempelhof (2023-07-09 Heatwave, peak Ta=32.1°C)</w:t>
            </w:r>
          </w:p>
        </w:tc>
        <w:tc>
          <w:tcPr>
            <w:tcW w:type="dxa" w:w="1560"/>
            <w:tcMar>
              <w:top w:w="35" w:type="dxa"/>
              <w:bottom w:w="35" w:type="dxa"/>
              <w:left w:w="50" w:type="dxa"/>
              <w:right w:w="50" w:type="dxa"/>
            </w:tcMar>
            <w:shd w:fill="FAFAFA"/>
          </w:tcPr>
          <w:p>
            <w:r>
              <w:rPr>
                <w:sz w:val="13"/>
              </w:rPr>
              <w:t>https://opendata.dwd.de/climate_environment/CDC/</w:t>
            </w:r>
          </w:p>
        </w:tc>
        <w:tc>
          <w:tcPr>
            <w:tcW w:type="dxa" w:w="1560"/>
            <w:tcMar>
              <w:top w:w="35" w:type="dxa"/>
              <w:bottom w:w="35" w:type="dxa"/>
              <w:left w:w="50" w:type="dxa"/>
              <w:right w:w="50" w:type="dxa"/>
            </w:tcMar>
            <w:shd w:fill="FAFAFA"/>
          </w:tcPr>
          <w:p>
            <w:r>
              <w:rPr>
                <w:sz w:val="13"/>
              </w:rPr>
              <w:t>Open Data / DWD Law</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Chicago</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City of Chicago Open Data Portal Building Footprints</w:t>
            </w:r>
          </w:p>
        </w:tc>
        <w:tc>
          <w:tcPr>
            <w:tcW w:type="dxa" w:w="1560"/>
            <w:tcMar>
              <w:top w:w="35" w:type="dxa"/>
              <w:bottom w:w="35" w:type="dxa"/>
              <w:left w:w="50" w:type="dxa"/>
              <w:right w:w="50" w:type="dxa"/>
            </w:tcMar>
          </w:tcPr>
          <w:p>
            <w:r>
              <w:rPr>
                <w:sz w:val="13"/>
              </w:rPr>
              <w:t>https://data.cityofchicago.org/Buildings/Building-Footprints/</w:t>
            </w:r>
          </w:p>
        </w:tc>
        <w:tc>
          <w:tcPr>
            <w:tcW w:type="dxa" w:w="1560"/>
            <w:tcMar>
              <w:top w:w="35" w:type="dxa"/>
              <w:bottom w:w="35" w:type="dxa"/>
              <w:left w:w="50" w:type="dxa"/>
              <w:right w:w="50" w:type="dxa"/>
            </w:tcMar>
          </w:tcPr>
          <w:p>
            <w:r>
              <w:rPr>
                <w:sz w:val="13"/>
              </w:rPr>
              <w:t>Public Domain</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Chicago</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USGS 3D Elevation Program (3DEP) 1m Bare-Earth DEM</w:t>
            </w:r>
          </w:p>
        </w:tc>
        <w:tc>
          <w:tcPr>
            <w:tcW w:type="dxa" w:w="1560"/>
            <w:tcMar>
              <w:top w:w="35" w:type="dxa"/>
              <w:bottom w:w="35" w:type="dxa"/>
              <w:left w:w="50" w:type="dxa"/>
              <w:right w:w="50" w:type="dxa"/>
            </w:tcMar>
            <w:shd w:fill="FAFAFA"/>
          </w:tcPr>
          <w:p>
            <w:r>
              <w:rPr>
                <w:sz w:val="13"/>
              </w:rPr>
              <w:t>https://www.usgs.gov/3d-elevation-program</w:t>
            </w:r>
          </w:p>
        </w:tc>
        <w:tc>
          <w:tcPr>
            <w:tcW w:type="dxa" w:w="1560"/>
            <w:tcMar>
              <w:top w:w="35" w:type="dxa"/>
              <w:bottom w:w="35" w:type="dxa"/>
              <w:left w:w="50" w:type="dxa"/>
              <w:right w:w="50" w:type="dxa"/>
            </w:tcMar>
            <w:shd w:fill="FAFAFA"/>
          </w:tcPr>
          <w:p>
            <w:r>
              <w:rPr>
                <w:sz w:val="13"/>
              </w:rPr>
              <w:t>Public Domain (US Gov)</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Chicago</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Chicago Urban Forest Tree Inventory (8 sidewalk Gleditsia triacanthos)</w:t>
            </w:r>
          </w:p>
        </w:tc>
        <w:tc>
          <w:tcPr>
            <w:tcW w:type="dxa" w:w="1560"/>
            <w:tcMar>
              <w:top w:w="35" w:type="dxa"/>
              <w:bottom w:w="35" w:type="dxa"/>
              <w:left w:w="50" w:type="dxa"/>
              <w:right w:w="50" w:type="dxa"/>
            </w:tcMar>
          </w:tcPr>
          <w:p>
            <w:r>
              <w:rPr>
                <w:sz w:val="13"/>
              </w:rPr>
              <w:t>https://data.cityofchicago.org/Parks-Recreation/Trees/</w:t>
            </w:r>
          </w:p>
        </w:tc>
        <w:tc>
          <w:tcPr>
            <w:tcW w:type="dxa" w:w="1560"/>
            <w:tcMar>
              <w:top w:w="35" w:type="dxa"/>
              <w:bottom w:w="35" w:type="dxa"/>
              <w:left w:w="50" w:type="dxa"/>
              <w:right w:w="50" w:type="dxa"/>
            </w:tcMar>
          </w:tcPr>
          <w:p>
            <w:r>
              <w:rPr>
                <w:sz w:val="13"/>
              </w:rPr>
              <w:t>Public Domain</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Chicago</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NOAA Local Climatological Data KORD (2024-07-15 Heatwave, peak Ta=33.8°C)</w:t>
            </w:r>
          </w:p>
        </w:tc>
        <w:tc>
          <w:tcPr>
            <w:tcW w:type="dxa" w:w="1560"/>
            <w:tcMar>
              <w:top w:w="35" w:type="dxa"/>
              <w:bottom w:w="35" w:type="dxa"/>
              <w:left w:w="50" w:type="dxa"/>
              <w:right w:w="50" w:type="dxa"/>
            </w:tcMar>
            <w:shd w:fill="FAFAFA"/>
          </w:tcPr>
          <w:p>
            <w:r>
              <w:rPr>
                <w:sz w:val="13"/>
              </w:rPr>
              <w:t>https://www.ncei.noaa.gov/cdo-web/</w:t>
            </w:r>
          </w:p>
        </w:tc>
        <w:tc>
          <w:tcPr>
            <w:tcW w:type="dxa" w:w="1560"/>
            <w:tcMar>
              <w:top w:w="35" w:type="dxa"/>
              <w:bottom w:w="35" w:type="dxa"/>
              <w:left w:w="50" w:type="dxa"/>
              <w:right w:w="50" w:type="dxa"/>
            </w:tcMar>
            <w:shd w:fill="FAFAFA"/>
          </w:tcPr>
          <w:p>
            <w:r>
              <w:rPr>
                <w:sz w:val="13"/>
              </w:rPr>
              <w:t>Open Access / NOAA</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London</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OS Open Map Local / GLA 3D Building Heights</w:t>
            </w:r>
          </w:p>
        </w:tc>
        <w:tc>
          <w:tcPr>
            <w:tcW w:type="dxa" w:w="1560"/>
            <w:tcMar>
              <w:top w:w="35" w:type="dxa"/>
              <w:bottom w:w="35" w:type="dxa"/>
              <w:left w:w="50" w:type="dxa"/>
              <w:right w:w="50" w:type="dxa"/>
            </w:tcMar>
          </w:tcPr>
          <w:p>
            <w:r>
              <w:rPr>
                <w:sz w:val="13"/>
              </w:rPr>
              <w:t>https://osdatahub.os.uk/</w:t>
            </w:r>
          </w:p>
        </w:tc>
        <w:tc>
          <w:tcPr>
            <w:tcW w:type="dxa" w:w="1560"/>
            <w:tcMar>
              <w:top w:w="35" w:type="dxa"/>
              <w:bottom w:w="35" w:type="dxa"/>
              <w:left w:w="50" w:type="dxa"/>
              <w:right w:w="50" w:type="dxa"/>
            </w:tcMar>
          </w:tcPr>
          <w:p>
            <w:r>
              <w:rPr>
                <w:sz w:val="13"/>
              </w:rPr>
              <w:t>OGL v3.0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London</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Environment Agency LiDAR Composite DTM 1m</w:t>
            </w:r>
          </w:p>
        </w:tc>
        <w:tc>
          <w:tcPr>
            <w:tcW w:type="dxa" w:w="1560"/>
            <w:tcMar>
              <w:top w:w="35" w:type="dxa"/>
              <w:bottom w:w="35" w:type="dxa"/>
              <w:left w:w="50" w:type="dxa"/>
              <w:right w:w="50" w:type="dxa"/>
            </w:tcMar>
            <w:shd w:fill="FAFAFA"/>
          </w:tcPr>
          <w:p>
            <w:r>
              <w:rPr>
                <w:sz w:val="13"/>
              </w:rPr>
              <w:t>https://environment.data.gov.uk/</w:t>
            </w:r>
          </w:p>
        </w:tc>
        <w:tc>
          <w:tcPr>
            <w:tcW w:type="dxa" w:w="1560"/>
            <w:tcMar>
              <w:top w:w="35" w:type="dxa"/>
              <w:bottom w:w="35" w:type="dxa"/>
              <w:left w:w="50" w:type="dxa"/>
              <w:right w:w="50" w:type="dxa"/>
            </w:tcMar>
            <w:shd w:fill="FAFAFA"/>
          </w:tcPr>
          <w:p>
            <w:r>
              <w:rPr>
                <w:sz w:val="13"/>
              </w:rPr>
              <w:t>OGL v3.0</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London</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RBKC Street Tree Cadaster (14 Platanus x hispanica boulevard trees)</w:t>
            </w:r>
          </w:p>
        </w:tc>
        <w:tc>
          <w:tcPr>
            <w:tcW w:type="dxa" w:w="1560"/>
            <w:tcMar>
              <w:top w:w="35" w:type="dxa"/>
              <w:bottom w:w="35" w:type="dxa"/>
              <w:left w:w="50" w:type="dxa"/>
              <w:right w:w="50" w:type="dxa"/>
            </w:tcMar>
          </w:tcPr>
          <w:p>
            <w:r>
              <w:rPr>
                <w:sz w:val="13"/>
              </w:rPr>
              <w:t>https://opendata.rbkc.gov.uk/</w:t>
            </w:r>
          </w:p>
        </w:tc>
        <w:tc>
          <w:tcPr>
            <w:tcW w:type="dxa" w:w="1560"/>
            <w:tcMar>
              <w:top w:w="35" w:type="dxa"/>
              <w:bottom w:w="35" w:type="dxa"/>
              <w:left w:w="50" w:type="dxa"/>
              <w:right w:w="50" w:type="dxa"/>
            </w:tcMar>
          </w:tcPr>
          <w:p>
            <w:r>
              <w:rPr>
                <w:sz w:val="13"/>
              </w:rPr>
              <w:t>OGL v3.0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London</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UK Met Office MIDAS Open Heathrow EGLL (2024-07-19 Heatwave, peak Ta=32.2°C)</w:t>
            </w:r>
          </w:p>
        </w:tc>
        <w:tc>
          <w:tcPr>
            <w:tcW w:type="dxa" w:w="1560"/>
            <w:tcMar>
              <w:top w:w="35" w:type="dxa"/>
              <w:bottom w:w="35" w:type="dxa"/>
              <w:left w:w="50" w:type="dxa"/>
              <w:right w:w="50" w:type="dxa"/>
            </w:tcMar>
            <w:shd w:fill="FAFAFA"/>
          </w:tcPr>
          <w:p>
            <w:r>
              <w:rPr>
                <w:sz w:val="13"/>
              </w:rPr>
              <w:t>https://catalogue.ceda.ac.uk/</w:t>
            </w:r>
          </w:p>
        </w:tc>
        <w:tc>
          <w:tcPr>
            <w:tcW w:type="dxa" w:w="1560"/>
            <w:tcMar>
              <w:top w:w="35" w:type="dxa"/>
              <w:bottom w:w="35" w:type="dxa"/>
              <w:left w:w="50" w:type="dxa"/>
              <w:right w:w="50" w:type="dxa"/>
            </w:tcMar>
            <w:shd w:fill="FAFAFA"/>
          </w:tcPr>
          <w:p>
            <w:r>
              <w:rPr>
                <w:sz w:val="13"/>
              </w:rPr>
              <w:t>OGL v3.0</w:t>
            </w:r>
          </w:p>
        </w:tc>
        <w:tc>
          <w:tcPr>
            <w:tcW w:type="dxa" w:w="1560"/>
            <w:tcMar>
              <w:top w:w="35" w:type="dxa"/>
              <w:bottom w:w="35" w:type="dxa"/>
              <w:left w:w="50" w:type="dxa"/>
              <w:right w:w="50" w:type="dxa"/>
            </w:tcMar>
            <w:shd w:fill="FAFAFA"/>
          </w:tcPr>
          <w:p>
            <w:r>
              <w:rPr>
                <w:sz w:val="13"/>
              </w:rPr>
              <w:t>2026-10-13</w:t>
            </w:r>
          </w:p>
        </w:tc>
      </w:tr>
    </w:tbl>
    <w:p>
      <w:pPr>
        <w:spacing w:before="80" w:after="280"/>
      </w:pPr>
      <w:r>
        <w:rPr>
          <w:i/>
          <w:sz w:val="17"/>
        </w:rPr>
        <w:t>Table 2. Geospatial and meteorological data characteristics in Berlin, Chicago, and London example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4572000" cy="261193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4572000" cy="2611931"/>
                    </a:xfrm>
                    <a:prstGeom prst="rect"/>
                  </pic:spPr>
                </pic:pic>
              </a:graphicData>
            </a:graphic>
          </wp:inline>
        </w:drawing>
      </w:r>
    </w:p>
    <w:p>
      <w:pPr>
        <w:spacing w:before="80" w:after="240"/>
        <w:jc w:val="center"/>
      </w:pPr>
      <w:r>
        <w:rPr>
          <w:i/>
          <w:sz w:val="17"/>
        </w:rPr>
        <w:t>Figure 1. Block diagram of methodology pipeline for Solaraeus microclimate platform end-to-end.</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4572000" cy="3003373"/>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4572000" cy="3003373"/>
                    </a:xfrm>
                    <a:prstGeom prst="rect"/>
                  </pic:spPr>
                </pic:pic>
              </a:graphicData>
            </a:graphic>
          </wp:inline>
        </w:drawing>
      </w:r>
    </w:p>
    <w:p>
      <w:pPr>
        <w:spacing w:before="80" w:after="240"/>
        <w:jc w:val="center"/>
      </w:pPr>
      <w:r>
        <w:rPr>
          <w:i/>
          <w:sz w:val="17"/>
        </w:rPr>
        <w:t>Figure 2. System architecture with modules diagram and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4572000" cy="3301876"/>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4572000" cy="3301876"/>
                    </a:xfrm>
                    <a:prstGeom prst="rect"/>
                  </pic:spPr>
                </pic:pic>
              </a:graphicData>
            </a:graphic>
          </wp:inline>
        </w:drawing>
      </w:r>
    </w:p>
    <w:p>
      <w:pPr>
        <w:spacing w:before="80" w:after="240"/>
        <w:jc w:val="center"/>
      </w:pPr>
      <w:r>
        <w:rPr>
          <w:i/>
          <w:sz w:val="17"/>
        </w:rPr>
        <w:t>Figure 3. Flow chart for incremental update process with proved error certificate steps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4572000" cy="3209934"/>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4572000" cy="3209934"/>
                    </a:xfrm>
                    <a:prstGeom prst="rect"/>
                  </pic:spPr>
                </pic:pic>
              </a:graphicData>
            </a:graphic>
          </wp:inline>
        </w:drawing>
      </w:r>
    </w:p>
    <w:p>
      <w:pPr>
        <w:spacing w:before="80" w:after="240"/>
        <w:jc w:val="center"/>
      </w:pPr>
      <w:r>
        <w:rPr>
          <w:i/>
          <w:sz w:val="17"/>
        </w:rPr>
        <w:t>Figure 4. Active learning process of Bayesian optimization using training of surrogate model and validation through full physics.</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Geometries of spatial configuration, buildings, tree canopies, and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plot of Solaraeus predicted Tmrt and reference SOLWEIG predictions on 900 street receptors.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prediction error under adversarial setting versus the 0.50 K bound claimed.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4572000" cy="2166485"/>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4572000" cy="2166485"/>
                    </a:xfrm>
                    <a:prstGeom prst="rect"/>
                  </pic:spPr>
                </pic:pic>
              </a:graphicData>
            </a:graphic>
          </wp:inline>
        </w:drawing>
      </w:r>
    </w:p>
    <w:p>
      <w:pPr>
        <w:spacing w:before="80" w:after="240"/>
        <w:jc w:val="center"/>
      </w:pPr>
      <w:r>
        <w:rPr>
          <w:i/>
          <w:sz w:val="17"/>
        </w:rPr>
        <w:t>Figure 8. Comparison of latency in four computational settings in an NVIDIA RTX 4050 GPU in three domains.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delay and acceleration ratios across domains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Convergence plots for four optimization techniques for 50 simulation iterations.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Optimization efficiency statistical analysis across strategies (Cost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Baseline distribution of Tmrt (a), optimized Tmrt (b), and cooling delta ΔTmrt (c) on Berlin Friedrichstraße street canyon.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Pre/post microclimatic efficiency and multiple cities morphology replica analysis.</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