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microclimates have historically been simulated using coupled formulations like ENVI-met (Bruse and Fleer 1998) and PALM-4U (Eingrüber et al. 2025). While physically comprehensive, full Navier–Stokes fluid simulations require hours on multi-core clusters per diurnal cycle, making iterative design impractical (Krayenhoff et al. 2021). Decoupled radiation models like SOLWEIG (Lindberg et al. 2008, 2018) resolve this by computing shortwave and longwave fluxes separately from airflow, evaluating pedestrian thermal comfort in seconds. Recent studies have extended decoupled modeling to solar shading (Rayegan et al. 2025), urban canyons (Bourquin et al. 2025), retroreflective pavements (Yuan et al. 2025), and vegetative cooling (Baia et al. 2026; Chen et al. 2024). However, existing engines recompute the entire domain from scratch whenever a local intervention (such as a fabric canopy or tree) is introduced.</w:t>
      </w:r>
    </w:p>
    <w:p>
      <w:pPr>
        <w:pStyle w:val="Heading2"/>
      </w:pPr>
      <w:r>
        <w:rPr>
          <w:b/>
          <w:color w:val="003366"/>
          <w:sz w:val="22"/>
        </w:rPr>
        <w:t>2.2 GPU Acceleration and Precomputed Transport Architectures</w:t>
      </w:r>
    </w:p>
    <w:p>
      <w:r>
        <w:t>To accelerate large simulations, recent tools leverage GPU parallelism. Kamath et al. (2026) developed SOLWEIG-GPU for city-scale comfort modeling via CUDA ray marching, while Mei et al. (2025) introduced GUST1.0 for GPU-based surface energy balances, and Nguyen et al. (2023) applied parallel geospatial algorithms. In computer graphics, Freude et al. (2023, 2025) used precomputed radiative transport matrices to simulate dynamic thermal exchange in real time. However, precomputed matrices assume stationary geometry; adding even a single canopy alters the scene and invalidates the entire matrix. Existing GPU frameworks thus accelerate full recalculations rather than incrementally reusing unaffected cells.</w:t>
      </w:r>
    </w:p>
    <w:p>
      <w:pPr>
        <w:pStyle w:val="Heading2"/>
      </w:pPr>
      <w:r>
        <w:rPr>
          <w:b/>
          <w:color w:val="003366"/>
          <w:sz w:val="22"/>
        </w:rPr>
        <w:t>2.3 Machine Learning Surrogates and Active Optimization</w:t>
      </w:r>
    </w:p>
    <w:p>
      <w:r>
        <w:t>Surrogate modeling has also emerged to bypass heavy physics simulations (Do et al. 2024; Tao et al. 2025). For example, Qin et al. (2024) used localized Fourier Neural Operators to predict 3D microclimate fields in milliseconds. Yet neural surrogates lack certified physical error bounds and struggle with sharp shadow boundaries in complex canyons (Tao et al. 2025). While Bayesian active learning balances exploration and exploitation, it still requires an underlying physics engine that can evaluate candidate designs in sub-second time with verified numerical accuracy.</w:t>
      </w:r>
    </w:p>
    <w:p>
      <w:pPr>
        <w:pStyle w:val="Heading2"/>
      </w:pPr>
      <w:r>
        <w:rPr>
          <w:b/>
          <w:color w:val="003366"/>
          <w:sz w:val="22"/>
        </w:rPr>
        <w:t>2.4 Identified Research Gap</w:t>
      </w:r>
    </w:p>
    <w:p>
      <w:r>
        <w:t>In summary, current decoupled physics engines offer validated biometeorological accuracy but suffer from monolithic recalculation overhead. Conversely, precomputed transport matrices and neural surrogates offer real-time speeds but break under geometric modifications or lack physical error guarantees. A framework that unites mathematically certified incremental radiative transfer with resident GPU acceleration and active canopy optimization has been missing. Solaraeus directly fills this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4572000" cy="261193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4572000" cy="261193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4572000" cy="3003373"/>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4572000" cy="3003373"/>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4572000" cy="3301876"/>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4572000" cy="3301876"/>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4572000" cy="3209934"/>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4572000" cy="3209934"/>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4572000" cy="2166485"/>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4572000" cy="2166485"/>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