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C570A" w14:textId="1C1BAF7C" w:rsidR="003F589A" w:rsidRPr="003F589A" w:rsidRDefault="003F589A" w:rsidP="003F589A">
      <w:pPr>
        <w:jc w:val="center"/>
        <w:rPr>
          <w:b/>
          <w:noProof/>
          <w:sz w:val="28"/>
          <w:szCs w:val="28"/>
          <w:lang w:eastAsia="en-IN"/>
        </w:rPr>
      </w:pPr>
      <w:r w:rsidRPr="003F589A">
        <w:rPr>
          <w:b/>
          <w:noProof/>
          <w:sz w:val="28"/>
          <w:szCs w:val="28"/>
          <w:lang w:eastAsia="en-IN"/>
        </w:rPr>
        <w:t>DATASET1: GROUP4</w:t>
      </w:r>
    </w:p>
    <w:p w14:paraId="45B4A0D6" w14:textId="3D8B121A" w:rsidR="00672896" w:rsidRPr="00672896" w:rsidRDefault="00672896" w:rsidP="00194BCC">
      <w:pPr>
        <w:rPr>
          <w:b/>
          <w:noProof/>
          <w:sz w:val="28"/>
          <w:szCs w:val="28"/>
          <w:u w:val="single"/>
          <w:lang w:eastAsia="en-IN"/>
        </w:rPr>
      </w:pPr>
      <w:r w:rsidRPr="00672896">
        <w:rPr>
          <w:b/>
          <w:noProof/>
          <w:sz w:val="28"/>
          <w:szCs w:val="28"/>
          <w:u w:val="single"/>
          <w:lang w:eastAsia="en-IN"/>
        </w:rPr>
        <w:t>About Tata Consultancy Services</w:t>
      </w:r>
    </w:p>
    <w:p w14:paraId="29B182B4" w14:textId="348EFF1B" w:rsidR="00A853DA" w:rsidRDefault="00A853DA" w:rsidP="00194BCC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63B448B" wp14:editId="4259AF2C">
            <wp:extent cx="5819775" cy="1589353"/>
            <wp:effectExtent l="0" t="0" r="0" b="0"/>
            <wp:docPr id="14" name="Picture 14" descr="TCS 'work from home' policy: Only one-fourth of workers to com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 'work from home' policy: Only one-fourth of workers to come t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76" cy="15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D7FD8C" w14:textId="198E0169" w:rsidR="00A853DA" w:rsidRPr="00672896" w:rsidRDefault="00A853DA" w:rsidP="00194BC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2896">
        <w:rPr>
          <w:rFonts w:ascii="Times New Roman" w:hAnsi="Times New Roman" w:cs="Times New Roman"/>
          <w:sz w:val="24"/>
          <w:szCs w:val="24"/>
          <w:shd w:val="clear" w:color="auto" w:fill="FFFFFF"/>
        </w:rPr>
        <w:t>TATA Consultancy Services Limited is an Indian multinational information technology service and consulting company with headquartered in Mumbai, Maharashtra, India. It is a subsidiary of Tata Group and operates in 149 locations across 46 countries. TCS is the second largest Indian company by market capitalisation.</w:t>
      </w:r>
    </w:p>
    <w:p w14:paraId="0728FC45" w14:textId="77777777" w:rsidR="00A853DA" w:rsidRPr="00A853DA" w:rsidRDefault="00A853DA" w:rsidP="00194BC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4A629C76" w14:textId="16D10C60" w:rsidR="00A853DA" w:rsidRPr="00672896" w:rsidRDefault="00A853DA" w:rsidP="00194BCC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672896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Problem statement:</w:t>
      </w:r>
    </w:p>
    <w:p w14:paraId="441939F4" w14:textId="1CBD58AC" w:rsidR="00A853DA" w:rsidRDefault="00A853DA" w:rsidP="00194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forecast the net profit/loss</w:t>
      </w:r>
      <w:r w:rsidR="007F19D4">
        <w:rPr>
          <w:rFonts w:ascii="Times New Roman" w:hAnsi="Times New Roman" w:cs="Times New Roman"/>
          <w:sz w:val="24"/>
          <w:szCs w:val="24"/>
        </w:rPr>
        <w:t xml:space="preserve"> for TCS over 8 years (</w:t>
      </w:r>
      <w:proofErr w:type="spellStart"/>
      <w:r w:rsidR="007F19D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7F19D4">
        <w:rPr>
          <w:rFonts w:ascii="Times New Roman" w:hAnsi="Times New Roman" w:cs="Times New Roman"/>
          <w:sz w:val="24"/>
          <w:szCs w:val="24"/>
        </w:rPr>
        <w:t>, 2011</w:t>
      </w:r>
      <w:r>
        <w:rPr>
          <w:rFonts w:ascii="Times New Roman" w:hAnsi="Times New Roman" w:cs="Times New Roman"/>
          <w:sz w:val="24"/>
          <w:szCs w:val="24"/>
        </w:rPr>
        <w:t>-</w:t>
      </w:r>
      <w:r w:rsidR="007F19D4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 quarterly and find out how the profit/loss is dependent on total sales of each period. Also, we’ll calculate the accuracy of our forecast.</w:t>
      </w:r>
    </w:p>
    <w:p w14:paraId="2D6AFED7" w14:textId="7CBF4343" w:rsidR="00A853DA" w:rsidRPr="00A853DA" w:rsidRDefault="00A853DA" w:rsidP="00194B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3DA">
        <w:rPr>
          <w:rFonts w:ascii="Times New Roman" w:hAnsi="Times New Roman" w:cs="Times New Roman"/>
          <w:b/>
          <w:sz w:val="28"/>
          <w:szCs w:val="28"/>
          <w:u w:val="single"/>
        </w:rPr>
        <w:t>Steps and interpretations:</w:t>
      </w:r>
    </w:p>
    <w:p w14:paraId="0E07DD25" w14:textId="49BD2465" w:rsidR="002B7F6A" w:rsidRPr="00A853DA" w:rsidRDefault="00194BCC" w:rsidP="00194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 xml:space="preserve">Checking Seasonality and trend </w:t>
      </w:r>
    </w:p>
    <w:p w14:paraId="782A0750" w14:textId="72FFB9EA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</w:p>
    <w:p w14:paraId="578C3906" w14:textId="47124616" w:rsidR="00194BCC" w:rsidRPr="00A853DA" w:rsidRDefault="0078489B" w:rsidP="00194BCC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8DBC4" wp14:editId="53AA02F7">
                <wp:simplePos x="0" y="0"/>
                <wp:positionH relativeFrom="column">
                  <wp:posOffset>4008755</wp:posOffset>
                </wp:positionH>
                <wp:positionV relativeFrom="paragraph">
                  <wp:posOffset>96520</wp:posOffset>
                </wp:positionV>
                <wp:extent cx="2374265" cy="1403985"/>
                <wp:effectExtent l="0" t="0" r="1270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C01FF" w14:textId="1D32C2EB" w:rsidR="0078489B" w:rsidRDefault="0078489B" w:rsidP="0078489B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746999">
                              <w:rPr>
                                <w:b/>
                              </w:rPr>
                              <w:t xml:space="preserve">Interpretation: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6D57246" w14:textId="77777777" w:rsidR="0078489B" w:rsidRPr="00746999" w:rsidRDefault="0078489B" w:rsidP="0078489B">
                            <w:pPr>
                              <w:ind w:left="360"/>
                            </w:pPr>
                            <w:r w:rsidRPr="00746999">
                              <w:t>Looking at the plots we get the following interpretations:</w:t>
                            </w:r>
                          </w:p>
                          <w:p w14:paraId="458DAAB7" w14:textId="77777777" w:rsidR="0078489B" w:rsidRDefault="0078489B" w:rsidP="00784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Trend exists as upward</w:t>
                            </w:r>
                          </w:p>
                          <w:p w14:paraId="34792049" w14:textId="30C161C0" w:rsidR="0078489B" w:rsidRDefault="0078489B" w:rsidP="00784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Seasonality is not there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65pt;margin-top:7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">
                <v:textbox style="mso-fit-shape-to-text:t">
                  <w:txbxContent>
                    <w:p w14:paraId="69AC01FF" w14:textId="1D32C2EB" w:rsidR="0078489B" w:rsidRDefault="0078489B" w:rsidP="0078489B">
                      <w:pPr>
                        <w:ind w:left="360"/>
                        <w:rPr>
                          <w:b/>
                        </w:rPr>
                      </w:pPr>
                      <w:r w:rsidRPr="00746999">
                        <w:rPr>
                          <w:b/>
                        </w:rPr>
                        <w:t xml:space="preserve">Interpretation: 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06D57246" w14:textId="77777777" w:rsidR="0078489B" w:rsidRPr="00746999" w:rsidRDefault="0078489B" w:rsidP="0078489B">
                      <w:pPr>
                        <w:ind w:left="360"/>
                      </w:pPr>
                      <w:r w:rsidRPr="00746999">
                        <w:t>Looking at the plots we get the following interpretations:</w:t>
                      </w:r>
                    </w:p>
                    <w:p w14:paraId="458DAAB7" w14:textId="77777777" w:rsidR="0078489B" w:rsidRDefault="0078489B" w:rsidP="007848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Trend exists as upward</w:t>
                      </w:r>
                    </w:p>
                    <w:p w14:paraId="34792049" w14:textId="30C161C0" w:rsidR="0078489B" w:rsidRDefault="0078489B" w:rsidP="0078489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Seasonality is not there </w:t>
                      </w:r>
                    </w:p>
                  </w:txbxContent>
                </v:textbox>
              </v:shape>
            </w:pict>
          </mc:Fallback>
        </mc:AlternateContent>
      </w:r>
      <w:r w:rsidR="00194BCC"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A19E2B0" wp14:editId="062D7B31">
            <wp:extent cx="3524250" cy="1504950"/>
            <wp:effectExtent l="0" t="0" r="19050" b="1905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C8CC2FB-B15F-44DB-91A1-50F32B9E2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EBA0AC" w14:textId="15104EA1" w:rsidR="00194BCC" w:rsidRPr="00A853DA" w:rsidRDefault="00A853DA" w:rsidP="00715532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DA52A6A" wp14:editId="595CC41C">
            <wp:extent cx="3009900" cy="18183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8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855" w14:textId="018EE6A5" w:rsidR="00194BCC" w:rsidRDefault="00194BCC" w:rsidP="00A853DA">
      <w:pPr>
        <w:ind w:left="360"/>
        <w:rPr>
          <w:rFonts w:ascii="Times New Roman" w:hAnsi="Times New Roman" w:cs="Times New Roman"/>
        </w:rPr>
      </w:pPr>
    </w:p>
    <w:p w14:paraId="3933C3B7" w14:textId="77777777" w:rsidR="00A853DA" w:rsidRPr="00FE3D97" w:rsidRDefault="00A853DA" w:rsidP="00A85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79FABC" w14:textId="35F660B1" w:rsidR="00194BCC" w:rsidRPr="00FE3D97" w:rsidRDefault="00194BCC" w:rsidP="00194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D97">
        <w:rPr>
          <w:rFonts w:ascii="Times New Roman" w:hAnsi="Times New Roman" w:cs="Times New Roman"/>
          <w:sz w:val="24"/>
          <w:szCs w:val="24"/>
        </w:rPr>
        <w:t>Finding Lag Number</w:t>
      </w:r>
    </w:p>
    <w:p w14:paraId="52B04E56" w14:textId="77777777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</w:p>
    <w:p w14:paraId="30E70447" w14:textId="7294D4B0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DE7048" wp14:editId="5965CAC5">
            <wp:extent cx="2733675" cy="1733550"/>
            <wp:effectExtent l="0" t="0" r="9525" b="19050"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50423F1-EC26-4F4C-8480-7A633CFAB6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76CEFE" w14:textId="5E1F0B72" w:rsidR="00194BCC" w:rsidRPr="00A853DA" w:rsidRDefault="008B7E91" w:rsidP="00194BCC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PACF is significant till 1</w:t>
      </w:r>
      <w:r w:rsidRPr="00A853DA">
        <w:rPr>
          <w:rFonts w:ascii="Times New Roman" w:hAnsi="Times New Roman" w:cs="Times New Roman"/>
          <w:vertAlign w:val="superscript"/>
        </w:rPr>
        <w:t>st</w:t>
      </w:r>
      <w:r w:rsidRPr="00A853DA">
        <w:rPr>
          <w:rFonts w:ascii="Times New Roman" w:hAnsi="Times New Roman" w:cs="Times New Roman"/>
        </w:rPr>
        <w:t xml:space="preserve"> lag. </w:t>
      </w:r>
    </w:p>
    <w:p w14:paraId="7D7C1132" w14:textId="1BACA84C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</w:p>
    <w:p w14:paraId="49C12C46" w14:textId="12CC49E8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</w:p>
    <w:p w14:paraId="5693B61F" w14:textId="19DBFEE8" w:rsidR="00194BCC" w:rsidRPr="00A853DA" w:rsidRDefault="0078489B" w:rsidP="00746999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E0F8F" wp14:editId="0CDFBE58">
                <wp:simplePos x="0" y="0"/>
                <wp:positionH relativeFrom="column">
                  <wp:posOffset>3729355</wp:posOffset>
                </wp:positionH>
                <wp:positionV relativeFrom="paragraph">
                  <wp:posOffset>1270</wp:posOffset>
                </wp:positionV>
                <wp:extent cx="2374265" cy="1403985"/>
                <wp:effectExtent l="0" t="0" r="12700" b="209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2FFD" w14:textId="0899DE29" w:rsidR="0078489B" w:rsidRDefault="0078489B" w:rsidP="0078489B">
                            <w:pPr>
                              <w:ind w:left="360"/>
                            </w:pPr>
                            <w:r>
                              <w:t>Interpretation:</w:t>
                            </w:r>
                          </w:p>
                          <w:p w14:paraId="48058319" w14:textId="11EC6E90" w:rsidR="0078489B" w:rsidRDefault="0078489B" w:rsidP="0078489B">
                            <w:pPr>
                              <w:ind w:left="360"/>
                            </w:pPr>
                            <w:r>
                              <w:t>The autocorrelation factor shows a geometric decomposition. Significance cannot be determined based on the plot.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3.65pt;margin-top:.1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clJgIAAE0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">
                <v:textbox style="mso-fit-shape-to-text:t">
                  <w:txbxContent>
                    <w:p w14:paraId="4FC22FFD" w14:textId="0899DE29" w:rsidR="0078489B" w:rsidRDefault="0078489B" w:rsidP="0078489B">
                      <w:pPr>
                        <w:ind w:left="360"/>
                      </w:pPr>
                      <w:r>
                        <w:t>Interpretation:</w:t>
                      </w:r>
                    </w:p>
                    <w:p w14:paraId="48058319" w14:textId="11EC6E90" w:rsidR="0078489B" w:rsidRDefault="0078489B" w:rsidP="0078489B">
                      <w:pPr>
                        <w:ind w:left="360"/>
                      </w:pPr>
                      <w:r>
                        <w:t>The autocorrelation factor shows a geometric decomposition. Significance cannot be determined based on the plot.</w:t>
                      </w:r>
                    </w:p>
                  </w:txbxContent>
                </v:textbox>
              </v:shape>
            </w:pict>
          </mc:Fallback>
        </mc:AlternateContent>
      </w:r>
      <w:r w:rsidR="00194BCC"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F748E64" wp14:editId="6FF5C628">
            <wp:extent cx="3095625" cy="13430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8FA05C2-E9A7-4BD0-A571-98DDC8CA4F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5DFED3" w14:textId="0D61536C" w:rsidR="00194BCC" w:rsidRPr="00A853DA" w:rsidRDefault="00194BCC" w:rsidP="00194B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A853DA">
        <w:rPr>
          <w:rFonts w:ascii="Times New Roman" w:hAnsi="Times New Roman" w:cs="Times New Roman"/>
        </w:rPr>
        <w:t xml:space="preserve">Forecasting Model (dependent variable – </w:t>
      </w:r>
      <w:proofErr w:type="spellStart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NetProfitLossForthePeriod</w:t>
      </w:r>
      <w:proofErr w:type="spellEnd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 xml:space="preserve"> and independent – </w:t>
      </w:r>
      <w:proofErr w:type="spellStart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NetSalesIncomefromoperations</w:t>
      </w:r>
      <w:proofErr w:type="spellEnd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05A21191" w14:textId="77777777" w:rsidR="00A853DA" w:rsidRDefault="00A853DA" w:rsidP="00194BCC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888E57" w14:textId="77777777" w:rsidR="00A853DA" w:rsidRDefault="00A853DA" w:rsidP="00194BCC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9CA00B7" w14:textId="7F2C84A2" w:rsidR="00194BCC" w:rsidRPr="00A853DA" w:rsidRDefault="0078489B" w:rsidP="00194BCC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A853DA"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C2C04" wp14:editId="25502EAE">
                <wp:simplePos x="0" y="0"/>
                <wp:positionH relativeFrom="column">
                  <wp:posOffset>3376930</wp:posOffset>
                </wp:positionH>
                <wp:positionV relativeFrom="paragraph">
                  <wp:posOffset>240665</wp:posOffset>
                </wp:positionV>
                <wp:extent cx="2374265" cy="1403985"/>
                <wp:effectExtent l="0" t="0" r="1270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CFA8E" w14:textId="77777777" w:rsidR="0078489B" w:rsidRDefault="0078489B" w:rsidP="0078489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Interpretation: </w:t>
                            </w:r>
                          </w:p>
                          <w:p w14:paraId="684AB4C0" w14:textId="2FEC4A6E" w:rsidR="0078489B" w:rsidRPr="0078489B" w:rsidRDefault="0078489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As seen for the model description, the 2</w:t>
                            </w:r>
                            <w:r w:rsidRPr="008B7E91">
                              <w:rPr>
                                <w:rFonts w:ascii="Calibri" w:eastAsia="Times New Roman" w:hAnsi="Calibri" w:cs="Calibri"/>
                                <w:color w:val="000000"/>
                                <w:vertAlign w:val="superscript"/>
                                <w:lang w:eastAsia="en-IN"/>
                              </w:rPr>
                              <w:t>nd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component shows (0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,0,0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) which means that seasonality does not exist. Difference is 1 for the 1</w:t>
                            </w:r>
                            <w:r w:rsidRPr="008B7E91">
                              <w:rPr>
                                <w:rFonts w:ascii="Calibri" w:eastAsia="Times New Roman" w:hAnsi="Calibri" w:cs="Calibri"/>
                                <w:color w:val="000000"/>
                                <w:vertAlign w:val="superscript"/>
                                <w:lang w:eastAsia="en-IN"/>
                              </w:rPr>
                              <w:t>st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 xml:space="preserve"> component.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5.9pt;margin-top:18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NFJQIAAEw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">
                <v:textbox style="mso-fit-shape-to-text:t">
                  <w:txbxContent>
                    <w:p w14:paraId="19DCFA8E" w14:textId="77777777" w:rsidR="0078489B" w:rsidRDefault="0078489B" w:rsidP="0078489B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Interpretation: </w:t>
                      </w:r>
                    </w:p>
                    <w:p w14:paraId="684AB4C0" w14:textId="2FEC4A6E" w:rsidR="0078489B" w:rsidRPr="0078489B" w:rsidRDefault="0078489B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As seen for the model description, the 2</w:t>
                      </w:r>
                      <w:r w:rsidRPr="008B7E91">
                        <w:rPr>
                          <w:rFonts w:ascii="Calibri" w:eastAsia="Times New Roman" w:hAnsi="Calibri" w:cs="Calibri"/>
                          <w:color w:val="000000"/>
                          <w:vertAlign w:val="superscript"/>
                          <w:lang w:eastAsia="en-IN"/>
                        </w:rPr>
                        <w:t>nd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component shows (0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,0,0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>) which means that seasonality does not exist. Difference is 1 for the 1</w:t>
                      </w:r>
                      <w:r w:rsidRPr="008B7E91">
                        <w:rPr>
                          <w:rFonts w:ascii="Calibri" w:eastAsia="Times New Roman" w:hAnsi="Calibri" w:cs="Calibri"/>
                          <w:color w:val="000000"/>
                          <w:vertAlign w:val="superscript"/>
                          <w:lang w:eastAsia="en-IN"/>
                        </w:rPr>
                        <w:t>st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IN"/>
                        </w:rPr>
                        <w:t xml:space="preserve"> component.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3884" w:type="dxa"/>
        <w:tblLook w:val="04A0" w:firstRow="1" w:lastRow="0" w:firstColumn="1" w:lastColumn="0" w:noHBand="0" w:noVBand="1"/>
      </w:tblPr>
      <w:tblGrid>
        <w:gridCol w:w="686"/>
        <w:gridCol w:w="1136"/>
        <w:gridCol w:w="866"/>
        <w:gridCol w:w="1776"/>
      </w:tblGrid>
      <w:tr w:rsidR="00194BCC" w:rsidRPr="00A853DA" w14:paraId="51496588" w14:textId="77777777" w:rsidTr="00194BCC">
        <w:trPr>
          <w:trHeight w:val="288"/>
        </w:trPr>
        <w:tc>
          <w:tcPr>
            <w:tcW w:w="3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D67D" w14:textId="77777777" w:rsidR="00194BCC" w:rsidRPr="00A853DA" w:rsidRDefault="00194BCC" w:rsidP="0019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b/>
                <w:bCs/>
                <w:color w:val="993300"/>
                <w:lang w:eastAsia="en-IN"/>
              </w:rPr>
              <w:t>Model Description</w:t>
            </w:r>
          </w:p>
        </w:tc>
      </w:tr>
      <w:tr w:rsidR="00194BCC" w:rsidRPr="00A853DA" w14:paraId="78224D52" w14:textId="77777777" w:rsidTr="00194BCC">
        <w:trPr>
          <w:trHeight w:val="480"/>
        </w:trPr>
        <w:tc>
          <w:tcPr>
            <w:tcW w:w="2243" w:type="dxa"/>
            <w:gridSpan w:val="3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07C8F05F" w14:textId="77777777" w:rsidR="00194BCC" w:rsidRPr="00A853DA" w:rsidRDefault="00194BCC" w:rsidP="0019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42BA1772" w14:textId="77777777" w:rsidR="00194BCC" w:rsidRPr="00A853DA" w:rsidRDefault="00194BCC" w:rsidP="0019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  <w:t>Model Type</w:t>
            </w:r>
          </w:p>
        </w:tc>
      </w:tr>
      <w:tr w:rsidR="00194BCC" w:rsidRPr="00A853DA" w14:paraId="587D768C" w14:textId="77777777" w:rsidTr="00194BCC">
        <w:trPr>
          <w:trHeight w:val="912"/>
        </w:trPr>
        <w:tc>
          <w:tcPr>
            <w:tcW w:w="52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14:paraId="56FD4BFB" w14:textId="77777777" w:rsidR="00194BCC" w:rsidRPr="00A853DA" w:rsidRDefault="00194BCC" w:rsidP="0019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  <w:t>Model ID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14:paraId="4E58CC80" w14:textId="77777777" w:rsidR="00194BCC" w:rsidRPr="00A853DA" w:rsidRDefault="00194BCC" w:rsidP="0019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  <w:t>Net Profit/(Loss) For the Period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14:paraId="3FAA2F0E" w14:textId="77777777" w:rsidR="00194BCC" w:rsidRPr="00A853DA" w:rsidRDefault="00194BCC" w:rsidP="0019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333399"/>
                <w:sz w:val="18"/>
                <w:szCs w:val="18"/>
                <w:lang w:eastAsia="en-IN"/>
              </w:rPr>
              <w:t>Model_1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hideMark/>
          </w:tcPr>
          <w:p w14:paraId="7EDBFCC8" w14:textId="77777777" w:rsidR="00194BCC" w:rsidRPr="00A853DA" w:rsidRDefault="00194BCC" w:rsidP="0019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3300"/>
                <w:sz w:val="18"/>
                <w:szCs w:val="18"/>
                <w:lang w:eastAsia="en-IN"/>
              </w:rPr>
            </w:pPr>
            <w:r w:rsidRPr="00A853DA">
              <w:rPr>
                <w:rFonts w:ascii="Times New Roman" w:eastAsia="Times New Roman" w:hAnsi="Times New Roman" w:cs="Times New Roman"/>
                <w:color w:val="993300"/>
                <w:sz w:val="18"/>
                <w:szCs w:val="18"/>
                <w:lang w:eastAsia="en-IN"/>
              </w:rPr>
              <w:t>ARIMA(0,1,0)(0,0,0)</w:t>
            </w:r>
          </w:p>
        </w:tc>
      </w:tr>
    </w:tbl>
    <w:p w14:paraId="32291490" w14:textId="6039B64B" w:rsidR="00194BCC" w:rsidRPr="00A853DA" w:rsidRDefault="00194BCC" w:rsidP="00194BCC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024ED9B" w14:textId="16F03C00" w:rsidR="00194BCC" w:rsidRPr="00A853DA" w:rsidRDefault="00194BCC" w:rsidP="00194BCC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E369F75" w14:textId="2EF0F6E8" w:rsidR="0078489B" w:rsidRPr="00A853DA" w:rsidRDefault="0078489B" w:rsidP="00194BCC">
      <w:pPr>
        <w:ind w:left="360"/>
        <w:rPr>
          <w:rFonts w:ascii="Times New Roman" w:hAnsi="Times New Roman" w:cs="Times New Roman"/>
          <w:b/>
        </w:rPr>
      </w:pPr>
    </w:p>
    <w:p w14:paraId="209020B3" w14:textId="6D3CE617" w:rsidR="0078489B" w:rsidRPr="00A853DA" w:rsidRDefault="00FE3D97" w:rsidP="00194BCC">
      <w:pPr>
        <w:ind w:left="360"/>
        <w:rPr>
          <w:rFonts w:ascii="Times New Roman" w:hAnsi="Times New Roman" w:cs="Times New Roman"/>
          <w:b/>
        </w:rPr>
      </w:pPr>
      <w:r w:rsidRPr="00A853DA">
        <w:rPr>
          <w:rFonts w:ascii="Times New Roman" w:hAnsi="Times New Roman" w:cs="Times New Roman"/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8D518" wp14:editId="5453E8F4">
                <wp:simplePos x="0" y="0"/>
                <wp:positionH relativeFrom="column">
                  <wp:posOffset>3796030</wp:posOffset>
                </wp:positionH>
                <wp:positionV relativeFrom="paragraph">
                  <wp:posOffset>22225</wp:posOffset>
                </wp:positionV>
                <wp:extent cx="2374265" cy="1403985"/>
                <wp:effectExtent l="0" t="0" r="12700" b="273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AF49" w14:textId="7DB1DB14" w:rsidR="0078489B" w:rsidRPr="008B7E91" w:rsidRDefault="0078489B" w:rsidP="0078489B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8B7E91">
                              <w:rPr>
                                <w:b/>
                              </w:rPr>
                              <w:t>Interpretation:</w:t>
                            </w:r>
                          </w:p>
                          <w:p w14:paraId="7DCCEF84" w14:textId="2B2E90F1" w:rsidR="0078489B" w:rsidRDefault="0078489B" w:rsidP="0078489B">
                            <w:pPr>
                              <w:ind w:left="360"/>
                            </w:pPr>
                            <w:r>
                              <w:t xml:space="preserve">As we know that for a good model, a </w:t>
                            </w:r>
                            <w:proofErr w:type="gramStart"/>
                            <w:r>
                              <w:t>MAPE  between</w:t>
                            </w:r>
                            <w:proofErr w:type="gramEnd"/>
                            <w:r>
                              <w:t xml:space="preserve"> 0 to 10 is considered good, it is a good model for profit forecast prediction on TCS as our </w:t>
                            </w:r>
                            <w:r w:rsidRPr="008B7E91">
                              <w:rPr>
                                <w:b/>
                              </w:rPr>
                              <w:t>MAPE is 7.25%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8.9pt;margin-top:1.7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OC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">
                <v:textbox style="mso-fit-shape-to-text:t">
                  <w:txbxContent>
                    <w:p w14:paraId="088EAF49" w14:textId="7DB1DB14" w:rsidR="0078489B" w:rsidRPr="008B7E91" w:rsidRDefault="0078489B" w:rsidP="0078489B">
                      <w:pPr>
                        <w:ind w:left="360"/>
                        <w:rPr>
                          <w:b/>
                        </w:rPr>
                      </w:pPr>
                      <w:r w:rsidRPr="008B7E91">
                        <w:rPr>
                          <w:b/>
                        </w:rPr>
                        <w:t>Interpretation:</w:t>
                      </w:r>
                    </w:p>
                    <w:p w14:paraId="7DCCEF84" w14:textId="2B2E90F1" w:rsidR="0078489B" w:rsidRDefault="0078489B" w:rsidP="0078489B">
                      <w:pPr>
                        <w:ind w:left="360"/>
                      </w:pPr>
                      <w:r>
                        <w:t xml:space="preserve">As we know that for a good model, a </w:t>
                      </w:r>
                      <w:proofErr w:type="gramStart"/>
                      <w:r>
                        <w:t>MAPE  between</w:t>
                      </w:r>
                      <w:proofErr w:type="gramEnd"/>
                      <w:r>
                        <w:t xml:space="preserve"> 0 to 10 is considered good, it is a good model for profit forecast prediction on TCS as our </w:t>
                      </w:r>
                      <w:r w:rsidRPr="008B7E91">
                        <w:rPr>
                          <w:b/>
                        </w:rPr>
                        <w:t>MAPE is 7.25%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489B"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7D8465" wp14:editId="2A7B859F">
            <wp:extent cx="32004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7751" w14:textId="47CB7211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C3D39B" wp14:editId="049F6DB6">
            <wp:extent cx="2583397" cy="1400175"/>
            <wp:effectExtent l="0" t="0" r="7620" b="0"/>
            <wp:docPr id="6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34E3A3F9-DB4E-4607-BE79-BCE173CADC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34E3A3F9-DB4E-4607-BE79-BCE173CADC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4" cy="14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A66" w14:textId="7F5BDE08" w:rsidR="0073765A" w:rsidRPr="00A853DA" w:rsidRDefault="0073765A" w:rsidP="00194BCC">
      <w:pPr>
        <w:ind w:left="360"/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Judging from the plot, net profit increases for TCS along with the forecasted profit. Hence, it can be predicted that TCS will have a positive growth in terms of profit for the coming period.</w:t>
      </w:r>
    </w:p>
    <w:p w14:paraId="62E3E3DE" w14:textId="4401AEBF" w:rsidR="00194BCC" w:rsidRPr="00A853DA" w:rsidRDefault="00194BCC" w:rsidP="00194BCC">
      <w:pPr>
        <w:ind w:left="360"/>
        <w:rPr>
          <w:rFonts w:ascii="Times New Roman" w:hAnsi="Times New Roman" w:cs="Times New Roman"/>
        </w:rPr>
      </w:pPr>
    </w:p>
    <w:p w14:paraId="7C3BE8C3" w14:textId="20A19BA5" w:rsidR="00194BCC" w:rsidRPr="00A853DA" w:rsidRDefault="00194BCC" w:rsidP="00194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MAPE of model</w:t>
      </w:r>
    </w:p>
    <w:p w14:paraId="7CD988A4" w14:textId="779A1C57" w:rsidR="00194BCC" w:rsidRPr="00A853DA" w:rsidRDefault="00194BCC" w:rsidP="0073765A">
      <w:pPr>
        <w:spacing w:after="0" w:line="240" w:lineRule="auto"/>
        <w:rPr>
          <w:rFonts w:ascii="Times New Roman" w:eastAsia="Times New Roman" w:hAnsi="Times New Roman" w:cs="Times New Roman"/>
          <w:color w:val="FF0000"/>
          <w:lang w:eastAsia="en-IN"/>
        </w:rPr>
      </w:pPr>
      <w:r w:rsidRPr="00A853DA">
        <w:rPr>
          <w:rFonts w:ascii="Times New Roman" w:eastAsia="Times New Roman" w:hAnsi="Times New Roman" w:cs="Times New Roman"/>
          <w:color w:val="FF0000"/>
          <w:lang w:eastAsia="en-IN"/>
        </w:rPr>
        <w:t xml:space="preserve">The MEAN ABSOLUTE % ERROR for the entire data </w:t>
      </w:r>
      <w:proofErr w:type="gramStart"/>
      <w:r w:rsidRPr="00A853DA">
        <w:rPr>
          <w:rFonts w:ascii="Times New Roman" w:eastAsia="Times New Roman" w:hAnsi="Times New Roman" w:cs="Times New Roman"/>
          <w:color w:val="FF0000"/>
          <w:lang w:eastAsia="en-IN"/>
        </w:rPr>
        <w:t>is  7.25</w:t>
      </w:r>
      <w:proofErr w:type="gramEnd"/>
      <w:r w:rsidRPr="00A853DA">
        <w:rPr>
          <w:rFonts w:ascii="Times New Roman" w:eastAsia="Times New Roman" w:hAnsi="Times New Roman" w:cs="Times New Roman"/>
          <w:color w:val="FF0000"/>
          <w:lang w:eastAsia="en-IN"/>
        </w:rPr>
        <w:t>%</w:t>
      </w:r>
    </w:p>
    <w:p w14:paraId="4E682634" w14:textId="1BDB72A8" w:rsidR="00194BCC" w:rsidRPr="00A853DA" w:rsidRDefault="00194BCC" w:rsidP="00194B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A853DA">
        <w:rPr>
          <w:rFonts w:ascii="Times New Roman" w:hAnsi="Times New Roman" w:cs="Times New Roman"/>
        </w:rPr>
        <w:t xml:space="preserve">Forecasting Model without last two entry (dependent variable – </w:t>
      </w:r>
      <w:proofErr w:type="spellStart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NetProfitLossForthePeriod</w:t>
      </w:r>
      <w:proofErr w:type="spellEnd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 xml:space="preserve"> and independent – </w:t>
      </w:r>
      <w:proofErr w:type="spellStart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NetSalesIncomefromoperations</w:t>
      </w:r>
      <w:proofErr w:type="spellEnd"/>
      <w:r w:rsidRPr="00A853DA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14D663E5" w14:textId="0557FD58" w:rsidR="00194BCC" w:rsidRPr="00A853DA" w:rsidRDefault="00390655" w:rsidP="00715532">
      <w:p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0A328" wp14:editId="34DF910E">
                <wp:simplePos x="0" y="0"/>
                <wp:positionH relativeFrom="column">
                  <wp:posOffset>3653155</wp:posOffset>
                </wp:positionH>
                <wp:positionV relativeFrom="paragraph">
                  <wp:posOffset>100330</wp:posOffset>
                </wp:positionV>
                <wp:extent cx="2374265" cy="1403985"/>
                <wp:effectExtent l="0" t="0" r="1270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816D" w14:textId="7E916D1F" w:rsidR="0078489B" w:rsidRPr="00194BCC" w:rsidRDefault="0078489B" w:rsidP="0078489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lang w:eastAsia="en-IN"/>
                              </w:rPr>
                            </w:pPr>
                            <w:proofErr w:type="gramStart"/>
                            <w:r w:rsidRPr="00194BCC">
                              <w:rPr>
                                <w:rFonts w:ascii="Calibri" w:eastAsia="Times New Roman" w:hAnsi="Calibri" w:cs="Calibri"/>
                                <w:color w:val="FF0000"/>
                                <w:lang w:eastAsia="en-IN"/>
                              </w:rPr>
                              <w:t>The  MEAN</w:t>
                            </w:r>
                            <w:proofErr w:type="gramEnd"/>
                            <w:r w:rsidRPr="00194BCC">
                              <w:rPr>
                                <w:rFonts w:ascii="Calibri" w:eastAsia="Times New Roman" w:hAnsi="Calibri" w:cs="Calibri"/>
                                <w:color w:val="FF0000"/>
                                <w:lang w:eastAsia="en-IN"/>
                              </w:rPr>
                              <w:t xml:space="preserve"> ABSOLUTE % ERROR for the entire data is  7.6%</w:t>
                            </w:r>
                          </w:p>
                          <w:p w14:paraId="115BFFDA" w14:textId="6CAC1A0F" w:rsidR="0078489B" w:rsidRDefault="0078489B" w:rsidP="0078489B">
                            <w:r>
                              <w:t xml:space="preserve">The forecasted and observed values for the target entries correlate. </w:t>
                            </w:r>
                          </w:p>
                          <w:p w14:paraId="7FB9A2BC" w14:textId="2C637522" w:rsidR="0078489B" w:rsidRDefault="0078489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7.65pt;margin-top:7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">
                <v:textbox style="mso-fit-shape-to-text:t">
                  <w:txbxContent>
                    <w:p w14:paraId="2BF2816D" w14:textId="7E916D1F" w:rsidR="0078489B" w:rsidRPr="00194BCC" w:rsidRDefault="0078489B" w:rsidP="0078489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FF0000"/>
                          <w:lang w:eastAsia="en-IN"/>
                        </w:rPr>
                      </w:pPr>
                      <w:proofErr w:type="gramStart"/>
                      <w:r w:rsidRPr="00194BCC">
                        <w:rPr>
                          <w:rFonts w:ascii="Calibri" w:eastAsia="Times New Roman" w:hAnsi="Calibri" w:cs="Calibri"/>
                          <w:color w:val="FF0000"/>
                          <w:lang w:eastAsia="en-IN"/>
                        </w:rPr>
                        <w:t>The  MEAN</w:t>
                      </w:r>
                      <w:proofErr w:type="gramEnd"/>
                      <w:r w:rsidRPr="00194BCC">
                        <w:rPr>
                          <w:rFonts w:ascii="Calibri" w:eastAsia="Times New Roman" w:hAnsi="Calibri" w:cs="Calibri"/>
                          <w:color w:val="FF0000"/>
                          <w:lang w:eastAsia="en-IN"/>
                        </w:rPr>
                        <w:t xml:space="preserve"> ABSOLUTE % ERROR for the entire data is  7.6%</w:t>
                      </w:r>
                    </w:p>
                    <w:p w14:paraId="115BFFDA" w14:textId="6CAC1A0F" w:rsidR="0078489B" w:rsidRDefault="0078489B" w:rsidP="0078489B">
                      <w:r>
                        <w:t>The forecas</w:t>
                      </w:r>
                      <w:r>
                        <w:t xml:space="preserve">ted and observed values for the target entries correlate. </w:t>
                      </w:r>
                    </w:p>
                    <w:p w14:paraId="7FB9A2BC" w14:textId="2C637522" w:rsidR="0078489B" w:rsidRDefault="0078489B"/>
                  </w:txbxContent>
                </v:textbox>
              </v:shape>
            </w:pict>
          </mc:Fallback>
        </mc:AlternateContent>
      </w:r>
    </w:p>
    <w:p w14:paraId="6428B538" w14:textId="6E386A6E" w:rsidR="00194BCC" w:rsidRPr="00A853DA" w:rsidRDefault="0078489B" w:rsidP="0078489B">
      <w:p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64D3DF" wp14:editId="1B9EC45B">
            <wp:extent cx="2419350" cy="1311263"/>
            <wp:effectExtent l="0" t="0" r="0" b="3810"/>
            <wp:docPr id="8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1287C1C3-08C6-4FB2-AC3A-B794774A5B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1287C1C3-08C6-4FB2-AC3A-B794774A5B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340" cy="13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6F2E" w14:textId="77777777" w:rsidR="0073765A" w:rsidRPr="00A853DA" w:rsidRDefault="0073765A" w:rsidP="0078489B">
      <w:pPr>
        <w:rPr>
          <w:rFonts w:ascii="Times New Roman" w:hAnsi="Times New Roman" w:cs="Times New Roman"/>
        </w:rPr>
      </w:pPr>
    </w:p>
    <w:p w14:paraId="52C96EF4" w14:textId="77777777" w:rsidR="00A853DA" w:rsidRDefault="00A853DA" w:rsidP="0078489B">
      <w:pPr>
        <w:rPr>
          <w:rFonts w:ascii="Times New Roman" w:hAnsi="Times New Roman" w:cs="Times New Roman"/>
          <w:b/>
          <w:sz w:val="32"/>
          <w:szCs w:val="32"/>
        </w:rPr>
      </w:pPr>
    </w:p>
    <w:p w14:paraId="12F02BC7" w14:textId="50B1E4B0" w:rsidR="0073765A" w:rsidRPr="00A853DA" w:rsidRDefault="00F961DB" w:rsidP="0078489B">
      <w:pPr>
        <w:rPr>
          <w:rFonts w:ascii="Times New Roman" w:hAnsi="Times New Roman" w:cs="Times New Roman"/>
          <w:b/>
          <w:sz w:val="32"/>
          <w:szCs w:val="32"/>
        </w:rPr>
      </w:pPr>
      <w:r w:rsidRPr="00A853DA">
        <w:rPr>
          <w:rFonts w:ascii="Times New Roman" w:hAnsi="Times New Roman" w:cs="Times New Roman"/>
          <w:b/>
          <w:sz w:val="32"/>
          <w:szCs w:val="32"/>
        </w:rPr>
        <w:t>Conclusion</w:t>
      </w:r>
      <w:r w:rsidR="0073765A" w:rsidRPr="00A853DA">
        <w:rPr>
          <w:rFonts w:ascii="Times New Roman" w:hAnsi="Times New Roman" w:cs="Times New Roman"/>
          <w:b/>
          <w:sz w:val="32"/>
          <w:szCs w:val="32"/>
        </w:rPr>
        <w:t>:</w:t>
      </w:r>
    </w:p>
    <w:p w14:paraId="539F1AAA" w14:textId="77777777" w:rsidR="00F961DB" w:rsidRPr="00A853DA" w:rsidRDefault="0073765A" w:rsidP="0078489B">
      <w:p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Thus it can be inferred from the forecasted prediction that</w:t>
      </w:r>
      <w:r w:rsidR="00F961DB" w:rsidRPr="00A853DA">
        <w:rPr>
          <w:rFonts w:ascii="Times New Roman" w:hAnsi="Times New Roman" w:cs="Times New Roman"/>
        </w:rPr>
        <w:t>:</w:t>
      </w:r>
    </w:p>
    <w:p w14:paraId="2CAA6E51" w14:textId="1C2A52A2" w:rsidR="00F961DB" w:rsidRPr="00A853DA" w:rsidRDefault="0073765A" w:rsidP="00F96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 xml:space="preserve">TCS will continue having a positive trend of profit in the coming period. </w:t>
      </w:r>
    </w:p>
    <w:p w14:paraId="1EB0CE25" w14:textId="7C44E680" w:rsidR="00F961DB" w:rsidRPr="00A853DA" w:rsidRDefault="0073765A" w:rsidP="00F96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Predicted values for the deleted last two entries are also showing almost same values.</w:t>
      </w:r>
      <w:r w:rsidR="00F961DB" w:rsidRPr="00A853DA">
        <w:rPr>
          <w:rFonts w:ascii="Times New Roman" w:hAnsi="Times New Roman" w:cs="Times New Roman"/>
        </w:rPr>
        <w:t xml:space="preserve"> Hence, prediction for forecast is good enough.</w:t>
      </w:r>
      <w:r w:rsidRPr="00A853DA">
        <w:rPr>
          <w:rFonts w:ascii="Times New Roman" w:hAnsi="Times New Roman" w:cs="Times New Roman"/>
        </w:rPr>
        <w:t xml:space="preserve"> </w:t>
      </w:r>
    </w:p>
    <w:p w14:paraId="7A4BBBCD" w14:textId="77777777" w:rsidR="00F961DB" w:rsidRPr="00A853DA" w:rsidRDefault="0073765A" w:rsidP="00F96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 xml:space="preserve">MAPE for the model is 7.25% which means a good accuracy in terms of forecast prediction. Operations in TCS are not seasonal and keep varying. </w:t>
      </w:r>
    </w:p>
    <w:p w14:paraId="689E8375" w14:textId="77777777" w:rsidR="00F961DB" w:rsidRPr="00A853DA" w:rsidRDefault="0073765A" w:rsidP="00F96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 xml:space="preserve">TCS is having an upward trend hence a positive growth. </w:t>
      </w:r>
    </w:p>
    <w:p w14:paraId="6E3E1F67" w14:textId="4E1EE71F" w:rsidR="0073765A" w:rsidRPr="00A853DA" w:rsidRDefault="0073765A" w:rsidP="00F96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53DA">
        <w:rPr>
          <w:rFonts w:ascii="Times New Roman" w:hAnsi="Times New Roman" w:cs="Times New Roman"/>
        </w:rPr>
        <w:t>Alth</w:t>
      </w:r>
      <w:r w:rsidR="00F961DB" w:rsidRPr="00A853DA">
        <w:rPr>
          <w:rFonts w:ascii="Times New Roman" w:hAnsi="Times New Roman" w:cs="Times New Roman"/>
        </w:rPr>
        <w:t>ough profits fell in 2015</w:t>
      </w:r>
      <w:r w:rsidRPr="00A853DA">
        <w:rPr>
          <w:rFonts w:ascii="Times New Roman" w:hAnsi="Times New Roman" w:cs="Times New Roman"/>
        </w:rPr>
        <w:t xml:space="preserve"> 2</w:t>
      </w:r>
      <w:r w:rsidRPr="00A853DA">
        <w:rPr>
          <w:rFonts w:ascii="Times New Roman" w:hAnsi="Times New Roman" w:cs="Times New Roman"/>
          <w:vertAlign w:val="superscript"/>
        </w:rPr>
        <w:t>nd</w:t>
      </w:r>
      <w:r w:rsidRPr="00A853DA">
        <w:rPr>
          <w:rFonts w:ascii="Times New Roman" w:hAnsi="Times New Roman" w:cs="Times New Roman"/>
        </w:rPr>
        <w:t xml:space="preserve"> quarter, TCS was able to make up and rose again. </w:t>
      </w:r>
    </w:p>
    <w:sectPr w:rsidR="0073765A" w:rsidRPr="00A853DA" w:rsidSect="000110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5212"/>
    <w:multiLevelType w:val="hybridMultilevel"/>
    <w:tmpl w:val="7D48B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50762"/>
    <w:multiLevelType w:val="hybridMultilevel"/>
    <w:tmpl w:val="B8AC4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90E6B"/>
    <w:multiLevelType w:val="hybridMultilevel"/>
    <w:tmpl w:val="7D48B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447F"/>
    <w:multiLevelType w:val="hybridMultilevel"/>
    <w:tmpl w:val="DB5299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CC"/>
    <w:rsid w:val="00011014"/>
    <w:rsid w:val="00194BCC"/>
    <w:rsid w:val="002B7F6A"/>
    <w:rsid w:val="00390655"/>
    <w:rsid w:val="003F589A"/>
    <w:rsid w:val="00672896"/>
    <w:rsid w:val="00715532"/>
    <w:rsid w:val="0073765A"/>
    <w:rsid w:val="00746999"/>
    <w:rsid w:val="0078489B"/>
    <w:rsid w:val="007F19D4"/>
    <w:rsid w:val="008B7E91"/>
    <w:rsid w:val="00A853DA"/>
    <w:rsid w:val="00F961DB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D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tkarsh\Desktop\tcs\TCS_FORECA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tkarsh\Desktop\tcs\TCS_FORECA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tkarsh\Desktop\tcs\TCS_FORECA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3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pt idx="25">
                <c:v>26</c:v>
              </c:pt>
              <c:pt idx="26">
                <c:v>27</c:v>
              </c:pt>
              <c:pt idx="27">
                <c:v>28</c:v>
              </c:pt>
              <c:pt idx="28">
                <c:v>29</c:v>
              </c:pt>
              <c:pt idx="29">
                <c:v>30</c:v>
              </c:pt>
              <c:pt idx="30">
                <c:v>31</c:v>
              </c:pt>
              <c:pt idx="31">
                <c:v>32</c:v>
              </c:pt>
              <c:pt idx="32">
                <c:v>33</c:v>
              </c:pt>
              <c:pt idx="33">
                <c:v>34</c:v>
              </c:pt>
              <c:pt idx="34">
                <c:v>35</c:v>
              </c:pt>
            </c:numLit>
          </c:cat>
          <c:val>
            <c:numLit>
              <c:formatCode>0.00</c:formatCode>
              <c:ptCount val="35"/>
              <c:pt idx="0">
                <c:v>3187.11</c:v>
              </c:pt>
              <c:pt idx="1">
                <c:v>3168.1</c:v>
              </c:pt>
              <c:pt idx="2">
                <c:v>2558.34</c:v>
              </c:pt>
              <c:pt idx="3">
                <c:v>2797.59</c:v>
              </c:pt>
              <c:pt idx="4">
                <c:v>3722.76</c:v>
              </c:pt>
              <c:pt idx="5">
                <c:v>3217.11</c:v>
              </c:pt>
              <c:pt idx="6">
                <c:v>3014.78</c:v>
              </c:pt>
              <c:pt idx="7">
                <c:v>3297.75</c:v>
              </c:pt>
              <c:pt idx="8">
                <c:v>5607.75</c:v>
              </c:pt>
              <c:pt idx="9">
                <c:v>4776.76</c:v>
              </c:pt>
              <c:pt idx="10">
                <c:v>5409.65</c:v>
              </c:pt>
              <c:pt idx="11">
                <c:v>5604.64</c:v>
              </c:pt>
              <c:pt idx="12">
                <c:v>5312.27</c:v>
              </c:pt>
              <c:pt idx="13">
                <c:v>5388.34</c:v>
              </c:pt>
              <c:pt idx="14">
                <c:v>3754.45</c:v>
              </c:pt>
              <c:pt idx="15">
                <c:v>5773</c:v>
              </c:pt>
              <c:pt idx="16">
                <c:v>6093</c:v>
              </c:pt>
              <c:pt idx="17">
                <c:v>6125</c:v>
              </c:pt>
              <c:pt idx="18">
                <c:v>6347</c:v>
              </c:pt>
              <c:pt idx="19">
                <c:v>6318</c:v>
              </c:pt>
              <c:pt idx="20">
                <c:v>6603</c:v>
              </c:pt>
              <c:pt idx="21">
                <c:v>6814</c:v>
              </c:pt>
              <c:pt idx="22">
                <c:v>6622</c:v>
              </c:pt>
              <c:pt idx="23">
                <c:v>5950</c:v>
              </c:pt>
              <c:pt idx="24">
                <c:v>6460</c:v>
              </c:pt>
              <c:pt idx="25">
                <c:v>6545</c:v>
              </c:pt>
              <c:pt idx="26">
                <c:v>6925</c:v>
              </c:pt>
              <c:pt idx="27">
                <c:v>7362</c:v>
              </c:pt>
              <c:pt idx="28">
                <c:v>7927</c:v>
              </c:pt>
              <c:pt idx="29">
                <c:v>8121</c:v>
              </c:pt>
              <c:pt idx="30">
                <c:v>8152</c:v>
              </c:pt>
              <c:pt idx="31">
                <c:v>8153</c:v>
              </c:pt>
              <c:pt idx="32">
                <c:v>8058</c:v>
              </c:pt>
              <c:pt idx="33">
                <c:v>8143</c:v>
              </c:pt>
              <c:pt idx="34">
                <c:v>8093</c:v>
              </c:pt>
            </c:numLit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93A-45C9-8682-728EA6ACA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91296"/>
        <c:axId val="90826240"/>
      </c:lineChart>
      <c:catAx>
        <c:axId val="9079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Case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26240"/>
        <c:crosses val="autoZero"/>
        <c:auto val="1"/>
        <c:lblAlgn val="ctr"/>
        <c:lblOffset val="100"/>
        <c:noMultiLvlLbl val="0"/>
      </c:catAx>
      <c:valAx>
        <c:axId val="9082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Value Net Profit/(Loss) For the Period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9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Net Profit/(Loss) For the Period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</c:numLit>
          </c:cat>
          <c:val>
            <c:numLit>
              <c:formatCode>General</c:formatCode>
              <c:ptCount val="16"/>
              <c:pt idx="0">
                <c:v>0.86769860951917177</c:v>
              </c:pt>
              <c:pt idx="1">
                <c:v>8.8978832469627109E-2</c:v>
              </c:pt>
              <c:pt idx="2">
                <c:v>-7.9044652806065194E-2</c:v>
              </c:pt>
              <c:pt idx="3">
                <c:v>-5.6375682925069302E-2</c:v>
              </c:pt>
              <c:pt idx="4">
                <c:v>-6.3590538523085032E-3</c:v>
              </c:pt>
              <c:pt idx="5">
                <c:v>-0.17980238813284141</c:v>
              </c:pt>
              <c:pt idx="6">
                <c:v>0.1239409737989311</c:v>
              </c:pt>
              <c:pt idx="7">
                <c:v>-7.555800421729765E-2</c:v>
              </c:pt>
              <c:pt idx="8">
                <c:v>0.1686382742908685</c:v>
              </c:pt>
              <c:pt idx="9">
                <c:v>-0.1451613465495728</c:v>
              </c:pt>
              <c:pt idx="10">
                <c:v>0.1101978678294093</c:v>
              </c:pt>
              <c:pt idx="11">
                <c:v>-9.0965202554701516E-2</c:v>
              </c:pt>
              <c:pt idx="12">
                <c:v>-0.15139771313511691</c:v>
              </c:pt>
              <c:pt idx="13">
                <c:v>-0.1854592345972671</c:v>
              </c:pt>
              <c:pt idx="14">
                <c:v>-9.8246765820681037E-2</c:v>
              </c:pt>
              <c:pt idx="15">
                <c:v>0.14404857781780239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60A-4BEF-ABB9-AF3598A0A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228032"/>
        <c:axId val="91230208"/>
      </c:barChart>
      <c:catAx>
        <c:axId val="912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Lag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30208"/>
        <c:crosses val="autoZero"/>
        <c:auto val="1"/>
        <c:lblAlgn val="ctr"/>
        <c:lblOffset val="100"/>
        <c:noMultiLvlLbl val="0"/>
      </c:catAx>
      <c:valAx>
        <c:axId val="912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Partial ACF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Net Profit/(Loss) For the Period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</c:numLit>
          </c:cat>
          <c:val>
            <c:numLit>
              <c:formatCode>General</c:formatCode>
              <c:ptCount val="16"/>
              <c:pt idx="0">
                <c:v>0.86769860951917177</c:v>
              </c:pt>
              <c:pt idx="1">
                <c:v>0.77488746843373824</c:v>
              </c:pt>
              <c:pt idx="2">
                <c:v>0.67037177309408325</c:v>
              </c:pt>
              <c:pt idx="3">
                <c:v>0.56968440482336924</c:v>
              </c:pt>
              <c:pt idx="4">
                <c:v>0.48218739252339848</c:v>
              </c:pt>
              <c:pt idx="5">
                <c:v>0.36213985359152151</c:v>
              </c:pt>
              <c:pt idx="6">
                <c:v>0.30050440396873113</c:v>
              </c:pt>
              <c:pt idx="7">
                <c:v>0.21888388059090019</c:v>
              </c:pt>
              <c:pt idx="8">
                <c:v>0.19771503576873881</c:v>
              </c:pt>
              <c:pt idx="9">
                <c:v>0.1408164602518962</c:v>
              </c:pt>
              <c:pt idx="10">
                <c:v>0.1199434806784829</c:v>
              </c:pt>
              <c:pt idx="11">
                <c:v>9.4560852429186465E-2</c:v>
              </c:pt>
              <c:pt idx="12">
                <c:v>2.7146102449402829E-2</c:v>
              </c:pt>
              <c:pt idx="13">
                <c:v>-3.9953590854012407E-2</c:v>
              </c:pt>
              <c:pt idx="14">
                <c:v>-0.1393756226567455</c:v>
              </c:pt>
              <c:pt idx="15">
                <c:v>-0.16283877718186229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EA-49D7-B398-D0B3C90D3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263744"/>
        <c:axId val="91265664"/>
      </c:barChart>
      <c:catAx>
        <c:axId val="91263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Lag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65664"/>
        <c:crosses val="autoZero"/>
        <c:auto val="1"/>
        <c:lblAlgn val="ctr"/>
        <c:lblOffset val="100"/>
        <c:noMultiLvlLbl val="0"/>
      </c:catAx>
      <c:valAx>
        <c:axId val="9126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ACF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6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Chauhan</dc:creator>
  <cp:keywords/>
  <dc:description/>
  <cp:lastModifiedBy>Ayush</cp:lastModifiedBy>
  <cp:revision>9</cp:revision>
  <dcterms:created xsi:type="dcterms:W3CDTF">2020-06-27T16:17:00Z</dcterms:created>
  <dcterms:modified xsi:type="dcterms:W3CDTF">2020-06-28T05:55:00Z</dcterms:modified>
</cp:coreProperties>
</file>