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36"/>
          <w:szCs w:val="36"/>
        </w:rPr>
        <w:t xml:space="preserve">SOFTWARE REQUIREMENTS SPECIFICATION (SRS)</w:t>
      </w:r>
    </w:p>
    <w:p>
      <w:pPr>
        <w:pStyle w:val="Heading1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28"/>
          <w:szCs w:val="28"/>
        </w:rPr>
        <w:t xml:space="preserve">SCHOLARHUB™ — Unified Ph.D. Lifecycle &amp; Academic Governance Ecosystem</w:t>
      </w:r>
    </w:p>
    <w:p>
      <w:pPr>
        <w:spacing w:after="80" w:before="60" w:line="276"/>
      </w:pPr>
      <w:r>
        <w:rPr>
          <w:rFonts w:ascii="Segoe UI" w:cs="Segoe UI" w:eastAsia="Segoe UI" w:hAnsi="Segoe UI"/>
          <w:b/>
          <w:bCs/>
          <w:color w:val="222222"/>
        </w:rPr>
        <w:t xml:space="preserve">Document Standard:</w:t>
      </w:r>
      <w:r>
        <w:rPr>
          <w:rFonts w:ascii="Segoe UI" w:cs="Segoe UI" w:eastAsia="Segoe UI" w:hAnsi="Segoe UI"/>
          <w:color w:val="222222"/>
        </w:rPr>
        <w:t xml:space="preserve"> IEEE Std 830-1998 / ISO/IEC/IEEE 29148</w:t>
      </w:r>
    </w:p>
    <w:p>
      <w:pPr>
        <w:spacing w:after="80" w:before="60" w:line="276"/>
      </w:pPr>
      <w:r>
        <w:rPr>
          <w:rFonts w:ascii="Segoe UI" w:cs="Segoe UI" w:eastAsia="Segoe UI" w:hAnsi="Segoe UI"/>
          <w:b/>
          <w:bCs/>
          <w:color w:val="222222"/>
        </w:rPr>
        <w:t xml:space="preserve">Version:</w:t>
      </w:r>
      <w:r>
        <w:rPr>
          <w:rFonts w:ascii="Segoe UI" w:cs="Segoe UI" w:eastAsia="Segoe UI" w:hAnsi="Segoe UI"/>
          <w:color w:val="222222"/>
        </w:rPr>
        <w:t xml:space="preserve"> 2.4.0 | </w:t>
      </w:r>
      <w:r>
        <w:rPr>
          <w:rFonts w:ascii="Segoe UI" w:cs="Segoe UI" w:eastAsia="Segoe UI" w:hAnsi="Segoe UI"/>
          <w:b/>
          <w:bCs/>
          <w:color w:val="222222"/>
        </w:rPr>
        <w:t xml:space="preserve">Status:</w:t>
      </w:r>
      <w:r>
        <w:rPr>
          <w:rFonts w:ascii="Segoe UI" w:cs="Segoe UI" w:eastAsia="Segoe UI" w:hAnsi="Segoe UI"/>
          <w:color w:val="222222"/>
        </w:rPr>
        <w:t xml:space="preserve"> Approved / Production-Ready</w:t>
      </w:r>
    </w:p>
    <w:p>
      <w:pPr>
        <w:pBdr>
          <w:bottom w:val="single" w:color="40916C" w:sz="6"/>
        </w:pBdr>
        <w:spacing w:after="120" w:before="120"/>
      </w:pPr>
    </w:p>
    <w:p>
      <w:pPr>
        <w:pStyle w:val="Heading1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28"/>
          <w:szCs w:val="28"/>
        </w:rPr>
        <w:t xml:space="preserve">Table of Contents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B4332"/>
        </w:rPr>
        <w:t xml:space="preserve">1. </w:t>
      </w:r>
      <w:r>
        <w:rPr>
          <w:rFonts w:ascii="Segoe UI" w:cs="Segoe UI" w:eastAsia="Segoe UI" w:hAnsi="Segoe UI"/>
          <w:color w:val="222222"/>
        </w:rPr>
        <w:t xml:space="preserve">[Introduction](#1-introduction)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1.1 Purpose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1.2 Scope of the System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1.3 Definitions, Acronyms, and Abbreviations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1.4 System Architecture Overview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B4332"/>
        </w:rPr>
        <w:t xml:space="preserve">2. </w:t>
      </w:r>
      <w:r>
        <w:rPr>
          <w:rFonts w:ascii="Segoe UI" w:cs="Segoe UI" w:eastAsia="Segoe UI" w:hAnsi="Segoe UI"/>
          <w:color w:val="222222"/>
        </w:rPr>
        <w:t xml:space="preserve">[Overall Description](#2-overall-description)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2.1 Product Perspective &amp; Context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2.2 User Classes and Role Hierarchy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2.3 Operating Environment &amp; Technical Dependencies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B4332"/>
        </w:rPr>
        <w:t xml:space="preserve">3. </w:t>
      </w:r>
      <w:r>
        <w:rPr>
          <w:rFonts w:ascii="Segoe UI" w:cs="Segoe UI" w:eastAsia="Segoe UI" w:hAnsi="Segoe UI"/>
          <w:color w:val="222222"/>
        </w:rPr>
        <w:t xml:space="preserve">[Specific Functional Requirements (By Module)](#3-specific-functional-requirements)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3.1 Gateway &amp; Central Authentication Module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3.2 ScholarSync: Ph.D. Candidate Lifecycle Module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3.3 ScholarTrack: Attendance, Leave &amp; Timetable Module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3.4 Administration, Master Data &amp; Audit Module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B4332"/>
        </w:rPr>
        <w:t xml:space="preserve">4. </w:t>
      </w:r>
      <w:r>
        <w:rPr>
          <w:rFonts w:ascii="Segoe UI" w:cs="Segoe UI" w:eastAsia="Segoe UI" w:hAnsi="Segoe UI"/>
          <w:color w:val="222222"/>
        </w:rPr>
        <w:t xml:space="preserve">[External Interface Requirements](#4-external-interface-requirements)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4.1 User Interfaces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4.2 Software &amp; Database Interfaces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4.3 Communications &amp; Notification Interfaces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B4332"/>
        </w:rPr>
        <w:t xml:space="preserve">5. </w:t>
      </w:r>
      <w:r>
        <w:rPr>
          <w:rFonts w:ascii="Segoe UI" w:cs="Segoe UI" w:eastAsia="Segoe UI" w:hAnsi="Segoe UI"/>
          <w:color w:val="222222"/>
        </w:rPr>
        <w:t xml:space="preserve">[Non-Functional Requirements](#5-non-functional-requirements)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5.1 Security &amp; Access Control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5.2 Performance &amp; Scalability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5.3 Reliability, Backup &amp; Recovery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5.4 Maintainability &amp; Extensibility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B4332"/>
        </w:rPr>
        <w:t xml:space="preserve">6. </w:t>
      </w:r>
      <w:r>
        <w:rPr>
          <w:rFonts w:ascii="Segoe UI" w:cs="Segoe UI" w:eastAsia="Segoe UI" w:hAnsi="Segoe UI"/>
          <w:color w:val="222222"/>
        </w:rPr>
        <w:t xml:space="preserve">[Data Dictionary &amp; Entity Relationship Summary](#6-data-dictionary--entity-relationship-summary)</w:t>
      </w:r>
    </w:p>
    <w:p>
      <w:pPr>
        <w:pBdr>
          <w:bottom w:val="single" w:color="40916C" w:sz="6"/>
        </w:pBdr>
        <w:spacing w:after="120" w:before="120"/>
      </w:pPr>
    </w:p>
    <w:p>
      <w:pPr>
        <w:pStyle w:val="Heading1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28"/>
          <w:szCs w:val="28"/>
        </w:rPr>
        <w:t xml:space="preserve">1. Introduction</w:t>
      </w:r>
    </w:p>
    <w:p>
      <w:pPr>
        <w:pStyle w:val="Heading2"/>
        <w:spacing w:after="60" w:before="180"/>
      </w:pPr>
      <w:r>
        <w:rPr>
          <w:rFonts w:ascii="Segoe UI" w:cs="Segoe UI" w:eastAsia="Segoe UI" w:hAnsi="Segoe UI"/>
          <w:b/>
          <w:bCs/>
          <w:color w:val="2D6A4F"/>
          <w:sz w:val="24"/>
          <w:szCs w:val="24"/>
        </w:rPr>
        <w:t xml:space="preserve">1.1 Purpose</w:t>
      </w:r>
    </w:p>
    <w:p>
      <w:pPr>
        <w:spacing w:after="80" w:before="60" w:line="276"/>
      </w:pPr>
      <w:r>
        <w:rPr>
          <w:rFonts w:ascii="Segoe UI" w:cs="Segoe UI" w:eastAsia="Segoe UI" w:hAnsi="Segoe UI"/>
          <w:color w:val="222222"/>
        </w:rPr>
        <w:t xml:space="preserve">This document provides the formal Software Requirements Specification (SRS) for </w:t>
      </w:r>
      <w:r>
        <w:rPr>
          <w:rFonts w:ascii="Segoe UI" w:cs="Segoe UI" w:eastAsia="Segoe UI" w:hAnsi="Segoe UI"/>
          <w:b/>
          <w:bCs/>
          <w:color w:val="222222"/>
        </w:rPr>
        <w:t xml:space="preserve">ScholarHub</w:t>
      </w:r>
      <w:r>
        <w:rPr>
          <w:rFonts w:ascii="Segoe UI" w:cs="Segoe UI" w:eastAsia="Segoe UI" w:hAnsi="Segoe UI"/>
          <w:color w:val="222222"/>
        </w:rPr>
        <w:t xml:space="preserve">, an integrated multi-tier enterprise web application designed to govern the doctoral candidate academic lifecycle, streamline institutional attendance, and automate multi-level approvals across university departments.</w:t>
      </w:r>
    </w:p>
    <w:p>
      <w:pPr>
        <w:pStyle w:val="Heading2"/>
        <w:spacing w:after="60" w:before="180"/>
      </w:pPr>
      <w:r>
        <w:rPr>
          <w:rFonts w:ascii="Segoe UI" w:cs="Segoe UI" w:eastAsia="Segoe UI" w:hAnsi="Segoe UI"/>
          <w:b/>
          <w:bCs/>
          <w:color w:val="2D6A4F"/>
          <w:sz w:val="24"/>
          <w:szCs w:val="24"/>
        </w:rPr>
        <w:t xml:space="preserve">1.2 Scope of the System</w:t>
      </w:r>
    </w:p>
    <w:p>
      <w:pPr>
        <w:spacing w:after="80" w:before="60" w:line="276"/>
      </w:pPr>
      <w:r>
        <w:rPr>
          <w:rFonts w:ascii="Segoe UI" w:cs="Segoe UI" w:eastAsia="Segoe UI" w:hAnsi="Segoe UI"/>
          <w:color w:val="222222"/>
        </w:rPr>
        <w:t xml:space="preserve">ScholarHub replaces manual, paper-intensive administrative workflows with an automated, role-governed digital system encompassing: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Centralized Single Sign-On (SSO) with automated unique ScholarHub Identifier (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SH No.</w:t>
      </w:r>
      <w:r>
        <w:rPr>
          <w:rFonts w:ascii="Segoe UI" w:cs="Segoe UI" w:eastAsia="Segoe UI" w:hAnsi="Segoe UI"/>
          <w:color w:val="222222"/>
        </w:rPr>
        <w:t xml:space="preserve">) generation.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Complete Ph.D. lifecycle state machine from registration to thesis defense and degree award.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Digital Research Advisory Committee (RAC) biannual/annual progress monitoring.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Departmental Research Committee (DRC) meeting scheduling and synopsis evaluation.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Research output tracking (journal publications, conferences, patents, research labs).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Comprehensive attendance logging, subject-student mapping, leave request routing, and automatic defaulter calculation.</w:t>
      </w:r>
    </w:p>
    <w:p>
      <w:pPr>
        <w:pStyle w:val="Heading2"/>
        <w:spacing w:after="60" w:before="180"/>
      </w:pPr>
      <w:r>
        <w:rPr>
          <w:rFonts w:ascii="Segoe UI" w:cs="Segoe UI" w:eastAsia="Segoe UI" w:hAnsi="Segoe UI"/>
          <w:b/>
          <w:bCs/>
          <w:color w:val="2D6A4F"/>
          <w:sz w:val="24"/>
          <w:szCs w:val="24"/>
        </w:rPr>
        <w:t xml:space="preserve">1.3 Definitions, Acronyms, and Abbreviations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DRC:</w:t>
      </w:r>
      <w:r>
        <w:rPr>
          <w:rFonts w:ascii="Segoe UI" w:cs="Segoe UI" w:eastAsia="Segoe UI" w:hAnsi="Segoe UI"/>
          <w:color w:val="222222"/>
        </w:rPr>
        <w:t xml:space="preserve"> Departmental Research Committee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RAC:</w:t>
      </w:r>
      <w:r>
        <w:rPr>
          <w:rFonts w:ascii="Segoe UI" w:cs="Segoe UI" w:eastAsia="Segoe UI" w:hAnsi="Segoe UI"/>
          <w:color w:val="222222"/>
        </w:rPr>
        <w:t xml:space="preserve"> Research Advisory Committee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SH No.:</w:t>
      </w:r>
      <w:r>
        <w:rPr>
          <w:rFonts w:ascii="Segoe UI" w:cs="Segoe UI" w:eastAsia="Segoe UI" w:hAnsi="Segoe UI"/>
          <w:color w:val="222222"/>
        </w:rPr>
        <w:t xml:space="preserve"> ScholarHub Number (Unique 9-digit institutional identifier auto-generated on registration)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RBAC:</w:t>
      </w:r>
      <w:r>
        <w:rPr>
          <w:rFonts w:ascii="Segoe UI" w:cs="Segoe UI" w:eastAsia="Segoe UI" w:hAnsi="Segoe UI"/>
          <w:color w:val="222222"/>
        </w:rPr>
        <w:t xml:space="preserve"> Role-Based Access Control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SSO:</w:t>
      </w:r>
      <w:r>
        <w:rPr>
          <w:rFonts w:ascii="Segoe UI" w:cs="Segoe UI" w:eastAsia="Segoe UI" w:hAnsi="Segoe UI"/>
          <w:color w:val="222222"/>
        </w:rPr>
        <w:t xml:space="preserve"> Single Sign-On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MERN:</w:t>
      </w:r>
      <w:r>
        <w:rPr>
          <w:rFonts w:ascii="Segoe UI" w:cs="Segoe UI" w:eastAsia="Segoe UI" w:hAnsi="Segoe UI"/>
          <w:color w:val="222222"/>
        </w:rPr>
        <w:t xml:space="preserve"> MongoDB, Express.js, React, Node.js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JWT:</w:t>
      </w:r>
      <w:r>
        <w:rPr>
          <w:rFonts w:ascii="Segoe UI" w:cs="Segoe UI" w:eastAsia="Segoe UI" w:hAnsi="Segoe UI"/>
          <w:color w:val="222222"/>
        </w:rPr>
        <w:t xml:space="preserve"> JSON Web Token</w:t>
      </w:r>
    </w:p>
    <w:p>
      <w:pPr>
        <w:pBdr>
          <w:bottom w:val="single" w:color="40916C" w:sz="6"/>
        </w:pBdr>
        <w:spacing w:after="120" w:before="120"/>
      </w:pPr>
    </w:p>
    <w:p>
      <w:pPr>
        <w:pStyle w:val="Heading1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28"/>
          <w:szCs w:val="28"/>
        </w:rPr>
        <w:t xml:space="preserve">2. Overall Description</w:t>
      </w:r>
    </w:p>
    <w:p>
      <w:pPr>
        <w:pStyle w:val="Heading2"/>
        <w:spacing w:after="60" w:before="180"/>
      </w:pPr>
      <w:r>
        <w:rPr>
          <w:rFonts w:ascii="Segoe UI" w:cs="Segoe UI" w:eastAsia="Segoe UI" w:hAnsi="Segoe UI"/>
          <w:b/>
          <w:bCs/>
          <w:color w:val="2D6A4F"/>
          <w:sz w:val="24"/>
          <w:szCs w:val="24"/>
        </w:rPr>
        <w:t xml:space="preserve">2.1 Product Perspective &amp; Context</w:t>
      </w:r>
    </w:p>
    <w:p>
      <w:pPr>
        <w:spacing w:after="80" w:before="60" w:line="276"/>
      </w:pPr>
      <w:r>
        <w:rPr>
          <w:rFonts w:ascii="Segoe UI" w:cs="Segoe UI" w:eastAsia="Segoe UI" w:hAnsi="Segoe UI"/>
          <w:color w:val="222222"/>
        </w:rPr>
        <w:t xml:space="preserve">ScholarHub operates as a centralized monorepo-based architecture comprising three responsive web frontend portals served by a single high-performance Express REST API backend and MongoDB document database with Redis caching.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64748B" w:sz="16"/>
              <w:bottom w:val="none"/>
              <w:right w:val="none"/>
            </w:tcBorders>
            <w:shd w:fill="F1F5F9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    END USERS 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Scholars / Students  |  Supervisors  |  HODs  |  Deans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+------------------------------------+------------------------------------+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| (HTTPS)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v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GATEWAY (Port: 3000)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Institutional Landing • SSO Router • Public Research Hub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+-------------------+---------------------------------+-------------------+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|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v                                 v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+-----------------------------------+ +-----------------------------------+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SCHOLARSYNC (Port: 5173)     | |      SCHOLARTRACK (Port: 5174)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Ph.D. Lifecycle Tracker Portal  | | Attendance &amp; Leave Mgmt Portal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+-------------------+---------------+ +---------------+-------------------+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|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+----------------+----------------+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| (REST API / JWT)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v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SHARED BACKEND SERVER (Port: 5000)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Express 5 • Auth &amp; RBAC • Lifecycle Engine • Email Worker Queue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+--------------------+--------------------------------+-------------------+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|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v                                v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+-----------------------------------+ +-----------------------------------+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MONGODB DATABASE          | |        REDIS CACHING ENGINE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25 Models • Multi-Tenant Schemas| |   Session / Route Cache (300s)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+-----------------------------------+ +-----------------------------------+</w:t>
            </w:r>
          </w:p>
        </w:tc>
      </w:tr>
    </w:tbl>
    <w:p>
      <w:pPr>
        <w:spacing w:after="150"/>
      </w:pPr>
    </w:p>
    <w:p>
      <w:pPr>
        <w:pStyle w:val="Heading2"/>
        <w:spacing w:after="60" w:before="180"/>
      </w:pPr>
      <w:r>
        <w:rPr>
          <w:rFonts w:ascii="Segoe UI" w:cs="Segoe UI" w:eastAsia="Segoe UI" w:hAnsi="Segoe UI"/>
          <w:b/>
          <w:bCs/>
          <w:color w:val="2D6A4F"/>
          <w:sz w:val="24"/>
          <w:szCs w:val="24"/>
        </w:rPr>
        <w:t xml:space="preserve">2.2 User Classes and Role Hierarchy</w:t>
      </w:r>
    </w:p>
    <w:p>
      <w:pPr>
        <w:spacing w:after="80" w:before="60" w:line="276"/>
      </w:pPr>
      <w:r>
        <w:rPr>
          <w:rFonts w:ascii="Segoe UI" w:cs="Segoe UI" w:eastAsia="Segoe UI" w:hAnsi="Segoe UI"/>
          <w:color w:val="222222"/>
        </w:rPr>
        <w:t xml:space="preserve">ScholarHub defines a strict hierarchical Role-Based Access Control (RBAC) model: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64748B" w:sz="16"/>
              <w:bottom w:val="none"/>
              <w:right w:val="none"/>
            </w:tcBorders>
            <w:shd w:fill="F1F5F9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┌──────────────────────┐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│     SUPER_ADMIN      │ (Full System Control)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└──────────┬───────────┘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┌──────────▼───────────┐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│        ADMIN         │ (Institutional Management)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└──────────┬───────────┘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┌──────────▼───────────┐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│         HOD          │ (Department Leadership &amp; DRC)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└──────────┬───────────┘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┌──────────▼───────────┐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│       FACULTY        │ (Research Supervisor / Teacher)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└──────────┬───────────┘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┌──────────▼───────────┐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│       STUDENT        │ (Doctoral Candidate / Scholar)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└──────────────────────┘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1B4332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User Role</w:t>
            </w:r>
          </w:p>
        </w:tc>
        <w:tc>
          <w:tcPr>
            <w:tcW w:type="pct" w:w="50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1B4332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Permissions &amp; Operational Scope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</w:rPr>
              <w:t xml:space="preserve">`STUDENT`</w:t>
            </w:r>
          </w:p>
        </w:tc>
        <w:tc>
          <w:tcPr>
            <w:tcW w:type="pct" w:w="50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View research milestones; submit synopsis drafts; submit periodic RAC review reports; log publications and patents; apply for leaves; view attendance records and submit correction requests.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</w:rPr>
              <w:t xml:space="preserve">`FACULTY`</w:t>
            </w:r>
          </w:p>
        </w:tc>
        <w:tc>
          <w:tcPr>
            <w:tcW w:type="pct" w:w="50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Mark period/daily attendance; verify student coursework; submit RAC progress reviews; approve publication submissions; approve student leave applications; verify student-subject mapping.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</w:rPr>
              <w:t xml:space="preserve">`HOD`</w:t>
            </w:r>
          </w:p>
        </w:tc>
        <w:tc>
          <w:tcPr>
            <w:tcW w:type="pct" w:w="50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Superset of Faculty; allocate supervisors to newly admitted scholars; convene DRC meetings; approve synopsis submissions; approve departmental leaves; schedule Viva-Voce defense; approve inter-department transfers.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</w:rPr>
              <w:t xml:space="preserve">`ADMIN`</w:t>
            </w:r>
          </w:p>
        </w:tc>
        <w:tc>
          <w:tcPr>
            <w:tcW w:type="pct" w:w="50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Manage institutional master configurations (departments, sessions, degree types, semesters, categories); manage leave policy rules; verify user registrations; monitor system install and email audit logs.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</w:rPr>
              <w:t xml:space="preserve">`SUPER_ADMIN`</w:t>
            </w:r>
          </w:p>
        </w:tc>
        <w:tc>
          <w:tcPr>
            <w:tcW w:type="pct" w:w="50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Global master access; database seeding and utility maintenance; high-privilege configuration overrides.</w:t>
            </w:r>
          </w:p>
        </w:tc>
      </w:tr>
    </w:tbl>
    <w:p>
      <w:pPr>
        <w:spacing w:after="150"/>
      </w:pPr>
    </w:p>
    <w:p>
      <w:pPr>
        <w:pBdr>
          <w:bottom w:val="single" w:color="40916C" w:sz="6"/>
        </w:pBdr>
        <w:spacing w:after="120" w:before="120"/>
      </w:pPr>
    </w:p>
    <w:p>
      <w:pPr>
        <w:pStyle w:val="Heading1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28"/>
          <w:szCs w:val="28"/>
        </w:rPr>
        <w:t xml:space="preserve">3. Specific Functional Requirements</w:t>
      </w:r>
    </w:p>
    <w:p>
      <w:pPr>
        <w:pStyle w:val="Heading2"/>
        <w:spacing w:after="60" w:before="180"/>
      </w:pPr>
      <w:r>
        <w:rPr>
          <w:rFonts w:ascii="Segoe UI" w:cs="Segoe UI" w:eastAsia="Segoe UI" w:hAnsi="Segoe UI"/>
          <w:b/>
          <w:bCs/>
          <w:color w:val="2D6A4F"/>
          <w:sz w:val="24"/>
          <w:szCs w:val="24"/>
        </w:rPr>
        <w:t xml:space="preserve">3.1 Module 1: Gateway &amp; Central Authentication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FR-AUTH-01 (Single Identity):</w:t>
      </w:r>
      <w:r>
        <w:rPr>
          <w:rFonts w:ascii="Segoe UI" w:cs="Segoe UI" w:eastAsia="Segoe UI" w:hAnsi="Segoe UI"/>
          <w:color w:val="222222"/>
        </w:rPr>
        <w:t xml:space="preserve"> The system shall generate a unique 9-digit alphanumeric/numeric ScholarHub Number (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SH No.</w:t>
      </w:r>
      <w:r>
        <w:rPr>
          <w:rFonts w:ascii="Segoe UI" w:cs="Segoe UI" w:eastAsia="Segoe UI" w:hAnsi="Segoe UI"/>
          <w:color w:val="222222"/>
        </w:rPr>
        <w:t xml:space="preserve">) for every candidate upon registration.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FR-AUTH-02 (Token Authentication):</w:t>
      </w:r>
      <w:r>
        <w:rPr>
          <w:rFonts w:ascii="Segoe UI" w:cs="Segoe UI" w:eastAsia="Segoe UI" w:hAnsi="Segoe UI"/>
          <w:color w:val="222222"/>
        </w:rPr>
        <w:t xml:space="preserve"> Secure stateless authentication via JWT tokens transmitted via HTTP Authorization headers and HTTP-only cookies.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FR-AUTH-03 (Email Verification):</w:t>
      </w:r>
      <w:r>
        <w:rPr>
          <w:rFonts w:ascii="Segoe UI" w:cs="Segoe UI" w:eastAsia="Segoe UI" w:hAnsi="Segoe UI"/>
          <w:color w:val="222222"/>
        </w:rPr>
        <w:t xml:space="preserve"> The system shall dispatch cryptographically secure verification tokens via the asynchronous email queue upon candidate registration.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FR-AUTH-04 (Role Enforcement):</w:t>
      </w:r>
      <w:r>
        <w:rPr>
          <w:rFonts w:ascii="Segoe UI" w:cs="Segoe UI" w:eastAsia="Segoe UI" w:hAnsi="Segoe UI"/>
          <w:color w:val="222222"/>
        </w:rPr>
        <w:t xml:space="preserve"> Middleware shall reject any unauthorized request attempting to access routes outside the authenticated role's scope with HTTP 403 Forbidden.</w:t>
      </w:r>
    </w:p>
    <w:p>
      <w:pPr>
        <w:pBdr>
          <w:bottom w:val="single" w:color="40916C" w:sz="6"/>
        </w:pBdr>
        <w:spacing w:after="120" w:before="120"/>
      </w:pPr>
    </w:p>
    <w:p>
      <w:pPr>
        <w:pStyle w:val="Heading2"/>
        <w:spacing w:after="60" w:before="180"/>
      </w:pPr>
      <w:r>
        <w:rPr>
          <w:rFonts w:ascii="Segoe UI" w:cs="Segoe UI" w:eastAsia="Segoe UI" w:hAnsi="Segoe UI"/>
          <w:b/>
          <w:bCs/>
          <w:color w:val="2D6A4F"/>
          <w:sz w:val="24"/>
          <w:szCs w:val="24"/>
        </w:rPr>
        <w:t xml:space="preserve">3.2 Module 2: ScholarSync — Ph.D. Candidate Lifecycle Engine</w:t>
      </w:r>
    </w:p>
    <w:p>
      <w:pPr>
        <w:pStyle w:val="Heading3"/>
        <w:spacing w:after="40" w:before="140"/>
      </w:pPr>
      <w:r>
        <w:rPr>
          <w:rFonts w:ascii="Segoe UI" w:cs="Segoe UI" w:eastAsia="Segoe UI" w:hAnsi="Segoe UI"/>
          <w:b/>
          <w:bCs/>
          <w:color w:val="40916C"/>
          <w:sz w:val="21"/>
          <w:szCs w:val="21"/>
        </w:rPr>
        <w:t xml:space="preserve">Formal State Machine Specification:</w:t>
      </w:r>
    </w:p>
    <w:p>
      <w:pPr>
        <w:spacing w:after="80" w:before="60" w:line="276"/>
      </w:pPr>
      <w:r>
        <w:rPr>
          <w:rFonts w:ascii="Segoe UI" w:cs="Segoe UI" w:eastAsia="Segoe UI" w:hAnsi="Segoe UI"/>
          <w:color w:val="222222"/>
        </w:rPr>
        <w:t xml:space="preserve">The lifecycle of every doctoral candidate is managed through a strict, unidirectional state transition model: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64748B" w:sz="16"/>
              <w:bottom w:val="none"/>
              <w:right w:val="none"/>
            </w:tcBorders>
            <w:shd w:fill="F1F5F9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[1. REGISTRATION_PENDING] ────► [2. COURSEWORK] ────► [3. SYNOPSIS_PENDING]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                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[6. THESIS_SUBMITTED] ◄──── [5. PRE_SUBMISSION] ◄──── [4. ACTIVE_RESEARCH]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[7. PENDING_SUPERVISOR] ──► [8. PENDING_HOD] ──► [9. VIVA_SCHEDULED] ──► [10. AWARDED]</w:t>
            </w:r>
          </w:p>
        </w:tc>
      </w:tr>
    </w:tbl>
    <w:p>
      <w:pPr>
        <w:spacing w:after="150"/>
      </w:pP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FR-SYNC-01 (Supervisor Allocation):</w:t>
      </w:r>
      <w:r>
        <w:rPr>
          <w:rFonts w:ascii="Segoe UI" w:cs="Segoe UI" w:eastAsia="Segoe UI" w:hAnsi="Segoe UI"/>
          <w:color w:val="222222"/>
        </w:rPr>
        <w:t xml:space="preserve"> HOD accounts shall be able to assign, re-assign, or assign co-supervisors to registered candidates.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FR-SYNC-02 (Coursework Verification):</w:t>
      </w:r>
      <w:r>
        <w:rPr>
          <w:rFonts w:ascii="Segoe UI" w:cs="Segoe UI" w:eastAsia="Segoe UI" w:hAnsi="Segoe UI"/>
          <w:color w:val="222222"/>
        </w:rPr>
        <w:t xml:space="preserve"> Faculty supervisors must submit coursework grade/completion status before a candidate can transition to synopsis submission.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FR-SYNC-03 (DRC Synopsis Approval):</w:t>
      </w:r>
      <w:r>
        <w:rPr>
          <w:rFonts w:ascii="Segoe UI" w:cs="Segoe UI" w:eastAsia="Segoe UI" w:hAnsi="Segoe UI"/>
          <w:color w:val="222222"/>
        </w:rPr>
        <w:t xml:space="preserve"> HODs shall schedule DRC meetings, record committee members, attach minutes, and record approval/revision outcomes.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FR-SYNC-04 (RAC Periodic Review):</w:t>
      </w:r>
      <w:r>
        <w:rPr>
          <w:rFonts w:ascii="Segoe UI" w:cs="Segoe UI" w:eastAsia="Segoe UI" w:hAnsi="Segoe UI"/>
          <w:color w:val="222222"/>
        </w:rPr>
        <w:t xml:space="preserve"> Biannual/annual progress reports must be submitted by scholars and signed off by RAC committee members with qualitative feedback ratings.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FR-SYNC-05 (Publication Verification):</w:t>
      </w:r>
      <w:r>
        <w:rPr>
          <w:rFonts w:ascii="Segoe UI" w:cs="Segoe UI" w:eastAsia="Segoe UI" w:hAnsi="Segoe UI"/>
          <w:color w:val="222222"/>
        </w:rPr>
        <w:t xml:space="preserve"> Scholars may log research publications (Title, Journal Name, ISSN, Scopus/UGC CARE index, DOI). The supervisor must review and digitally verify each publication.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FR-SYNC-06 (Pre-Submission Seminar):</w:t>
      </w:r>
      <w:r>
        <w:rPr>
          <w:rFonts w:ascii="Segoe UI" w:cs="Segoe UI" w:eastAsia="Segoe UI" w:hAnsi="Segoe UI"/>
          <w:color w:val="222222"/>
        </w:rPr>
        <w:t xml:space="preserve"> System must enforce milestone completion (e.g., minimum RACs and publications) before allowing pre-submission seminar scheduling.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FR-SYNC-07 (Thesis Submission &amp; Defense):</w:t>
      </w:r>
      <w:r>
        <w:rPr>
          <w:rFonts w:ascii="Segoe UI" w:cs="Segoe UI" w:eastAsia="Segoe UI" w:hAnsi="Segoe UI"/>
          <w:color w:val="222222"/>
        </w:rPr>
        <w:t xml:space="preserve"> Candidate uploads final digital thesis, anti-plagiarism report (URKUND/Turnitin), and fee receipt. System records examiner evaluation results, Viva-Voce defense proceedings, and formal Degree Award notification.</w:t>
      </w:r>
    </w:p>
    <w:p>
      <w:pPr>
        <w:pBdr>
          <w:bottom w:val="single" w:color="40916C" w:sz="6"/>
        </w:pBdr>
        <w:spacing w:after="120" w:before="120"/>
      </w:pPr>
    </w:p>
    <w:p>
      <w:pPr>
        <w:pStyle w:val="Heading2"/>
        <w:spacing w:after="60" w:before="180"/>
      </w:pPr>
      <w:r>
        <w:rPr>
          <w:rFonts w:ascii="Segoe UI" w:cs="Segoe UI" w:eastAsia="Segoe UI" w:hAnsi="Segoe UI"/>
          <w:b/>
          <w:bCs/>
          <w:color w:val="2D6A4F"/>
          <w:sz w:val="24"/>
          <w:szCs w:val="24"/>
        </w:rPr>
        <w:t xml:space="preserve">3.3 Module 3: ScholarTrack — Attendance, Leave &amp; Operations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FR-TRK-01 (Attendance Recording):</w:t>
      </w:r>
      <w:r>
        <w:rPr>
          <w:rFonts w:ascii="Segoe UI" w:cs="Segoe UI" w:eastAsia="Segoe UI" w:hAnsi="Segoe UI"/>
          <w:color w:val="222222"/>
        </w:rPr>
        <w:t xml:space="preserve"> Faculty can record subject-wise period attendance with 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Present</w:t>
      </w:r>
      <w:r>
        <w:rPr>
          <w:rFonts w:ascii="Segoe UI" w:cs="Segoe UI" w:eastAsia="Segoe UI" w:hAnsi="Segoe UI"/>
          <w:color w:val="222222"/>
        </w:rPr>
        <w:t xml:space="preserve">, 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Absent</w:t>
      </w:r>
      <w:r>
        <w:rPr>
          <w:rFonts w:ascii="Segoe UI" w:cs="Segoe UI" w:eastAsia="Segoe UI" w:hAnsi="Segoe UI"/>
          <w:color w:val="222222"/>
        </w:rPr>
        <w:t xml:space="preserve">, or 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Late</w:t>
      </w:r>
      <w:r>
        <w:rPr>
          <w:rFonts w:ascii="Segoe UI" w:cs="Segoe UI" w:eastAsia="Segoe UI" w:hAnsi="Segoe UI"/>
          <w:color w:val="222222"/>
        </w:rPr>
        <w:t xml:space="preserve"> flags.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FR-TRK-02 (Defaulter Calculation):</w:t>
      </w:r>
      <w:r>
        <w:rPr>
          <w:rFonts w:ascii="Segoe UI" w:cs="Segoe UI" w:eastAsia="Segoe UI" w:hAnsi="Segoe UI"/>
          <w:color w:val="222222"/>
        </w:rPr>
        <w:t xml:space="preserve"> The system shall compute real-time attendance percentages:</w:t>
      </w:r>
    </w:p>
    <w:p>
      <w:pPr>
        <w:spacing w:after="80" w:before="60" w:line="276"/>
      </w:pPr>
      <w:r>
        <w:rPr>
          <w:rFonts w:ascii="Segoe UI" w:cs="Segoe UI" w:eastAsia="Segoe UI" w:hAnsi="Segoe UI"/>
          <w:color w:val="222222"/>
        </w:rPr>
        <w:t xml:space="preserve">$$\text{Attendance \%} = \left( \frac{\text{Total Present Sessions}}{\text{Total Conducted Sessions}} \right) \times 100$$</w:t>
      </w:r>
    </w:p>
    <w:p>
      <w:pPr>
        <w:spacing w:after="80" w:before="60" w:line="276"/>
      </w:pPr>
      <w:r>
        <w:rPr>
          <w:rFonts w:ascii="Segoe UI" w:cs="Segoe UI" w:eastAsia="Segoe UI" w:hAnsi="Segoe UI"/>
          <w:color w:val="222222"/>
        </w:rPr>
        <w:t xml:space="preserve">Candidates falling below the institutional policy threshold (e.g. 75%) are automatically highlighted in red on faculty and HOD dashboards.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FR-TRK-03 (Leave Application Workflow):</w:t>
      </w:r>
      <w:r>
        <w:rPr>
          <w:rFonts w:ascii="Segoe UI" w:cs="Segoe UI" w:eastAsia="Segoe UI" w:hAnsi="Segoe UI"/>
          <w:color w:val="222222"/>
        </w:rPr>
        <w:t xml:space="preserve"> Students submit leave requests with date ranges, categories (Casual, Medical, Duty, Academic), and document attachments. Multi-level approval is routed to Faculty Supervisor $\rightarrow$ HOD.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FR-TRK-04 (Attendance Correction Audit):</w:t>
      </w:r>
      <w:r>
        <w:rPr>
          <w:rFonts w:ascii="Segoe UI" w:cs="Segoe UI" w:eastAsia="Segoe UI" w:hAnsi="Segoe UI"/>
          <w:color w:val="222222"/>
        </w:rPr>
        <w:t xml:space="preserve"> Allows faculty to file correction requests for accidental marking errors with mandatory textual rationale, preserving an indelible audit record.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FR-TRK-05 (Timetable &amp; Session Management):</w:t>
      </w:r>
      <w:r>
        <w:rPr>
          <w:rFonts w:ascii="Segoe UI" w:cs="Segoe UI" w:eastAsia="Segoe UI" w:hAnsi="Segoe UI"/>
          <w:color w:val="222222"/>
        </w:rPr>
        <w:t xml:space="preserve"> Administrators can define weekly class schedules and clone timetable matrices across academic sessions with a single action.</w:t>
      </w:r>
    </w:p>
    <w:p>
      <w:pPr>
        <w:pBdr>
          <w:bottom w:val="single" w:color="40916C" w:sz="6"/>
        </w:pBdr>
        <w:spacing w:after="120" w:before="120"/>
      </w:pPr>
    </w:p>
    <w:p>
      <w:pPr>
        <w:pStyle w:val="Heading2"/>
        <w:spacing w:after="60" w:before="180"/>
      </w:pPr>
      <w:r>
        <w:rPr>
          <w:rFonts w:ascii="Segoe UI" w:cs="Segoe UI" w:eastAsia="Segoe UI" w:hAnsi="Segoe UI"/>
          <w:b/>
          <w:bCs/>
          <w:color w:val="2D6A4F"/>
          <w:sz w:val="24"/>
          <w:szCs w:val="24"/>
        </w:rPr>
        <w:t xml:space="preserve">3.4 Module 4: Public Showcase &amp; Research Portal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FR-PUB-01 (Research Labs Directory):</w:t>
      </w:r>
      <w:r>
        <w:rPr>
          <w:rFonts w:ascii="Segoe UI" w:cs="Segoe UI" w:eastAsia="Segoe UI" w:hAnsi="Segoe UI"/>
          <w:color w:val="222222"/>
        </w:rPr>
        <w:t xml:space="preserve"> Public catalog displaying faculty research labs, funded equipment, and active doctoral researchers.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FR-PUB-02 (Funding &amp; Grants Board):</w:t>
      </w:r>
      <w:r>
        <w:rPr>
          <w:rFonts w:ascii="Segoe UI" w:cs="Segoe UI" w:eastAsia="Segoe UI" w:hAnsi="Segoe UI"/>
          <w:color w:val="222222"/>
        </w:rPr>
        <w:t xml:space="preserve"> Centralized listing of institutional, national, and international research funding opportunities.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FR-PUB-03 (Collaboration Exchange):</w:t>
      </w:r>
      <w:r>
        <w:rPr>
          <w:rFonts w:ascii="Segoe UI" w:cs="Segoe UI" w:eastAsia="Segoe UI" w:hAnsi="Segoe UI"/>
          <w:color w:val="222222"/>
        </w:rPr>
        <w:t xml:space="preserve"> Digital noticeboard facilitating inter-departmental and inter-university research project collaboration.</w:t>
      </w:r>
    </w:p>
    <w:p>
      <w:pPr>
        <w:pBdr>
          <w:bottom w:val="single" w:color="40916C" w:sz="6"/>
        </w:pBdr>
        <w:spacing w:after="120" w:before="120"/>
      </w:pPr>
    </w:p>
    <w:p>
      <w:pPr>
        <w:pStyle w:val="Heading1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28"/>
          <w:szCs w:val="28"/>
        </w:rPr>
        <w:t xml:space="preserve">4. External Interface Requirements</w:t>
      </w:r>
    </w:p>
    <w:p>
      <w:pPr>
        <w:pStyle w:val="Heading2"/>
        <w:spacing w:after="60" w:before="180"/>
      </w:pPr>
      <w:r>
        <w:rPr>
          <w:rFonts w:ascii="Segoe UI" w:cs="Segoe UI" w:eastAsia="Segoe UI" w:hAnsi="Segoe UI"/>
          <w:b/>
          <w:bCs/>
          <w:color w:val="2D6A4F"/>
          <w:sz w:val="24"/>
          <w:szCs w:val="24"/>
        </w:rPr>
        <w:t xml:space="preserve">4.1 User Interface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Design Standard:</w:t>
      </w:r>
      <w:r>
        <w:rPr>
          <w:rFonts w:ascii="Segoe UI" w:cs="Segoe UI" w:eastAsia="Segoe UI" w:hAnsi="Segoe UI"/>
          <w:color w:val="222222"/>
        </w:rPr>
        <w:t xml:space="preserve"> Premium glassmorphic interface, dark/light theme toggle, custom Outfit typography, mobile-responsive layout (tablets, mobile devices, desktops).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Export Capabilities:</w:t>
      </w:r>
      <w:r>
        <w:rPr>
          <w:rFonts w:ascii="Segoe UI" w:cs="Segoe UI" w:eastAsia="Segoe UI" w:hAnsi="Segoe UI"/>
          <w:color w:val="222222"/>
        </w:rPr>
        <w:t xml:space="preserve"> One-click PDF generation for scholar progress reports, attendance transcripts, and DRC meeting minutes using client-side 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jsPDF</w:t>
      </w:r>
      <w:r>
        <w:rPr>
          <w:rFonts w:ascii="Segoe UI" w:cs="Segoe UI" w:eastAsia="Segoe UI" w:hAnsi="Segoe UI"/>
          <w:color w:val="222222"/>
        </w:rPr>
        <w:t xml:space="preserve"> and 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html2canvas</w:t>
      </w:r>
      <w:r>
        <w:rPr>
          <w:rFonts w:ascii="Segoe UI" w:cs="Segoe UI" w:eastAsia="Segoe UI" w:hAnsi="Segoe UI"/>
          <w:color w:val="222222"/>
        </w:rPr>
        <w:t xml:space="preserve">.</w:t>
      </w:r>
    </w:p>
    <w:p>
      <w:pPr>
        <w:pStyle w:val="Heading2"/>
        <w:spacing w:after="60" w:before="180"/>
      </w:pPr>
      <w:r>
        <w:rPr>
          <w:rFonts w:ascii="Segoe UI" w:cs="Segoe UI" w:eastAsia="Segoe UI" w:hAnsi="Segoe UI"/>
          <w:b/>
          <w:bCs/>
          <w:color w:val="2D6A4F"/>
          <w:sz w:val="24"/>
          <w:szCs w:val="24"/>
        </w:rPr>
        <w:t xml:space="preserve">4.2 Database &amp; Storage Interface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Primary Database:</w:t>
      </w:r>
      <w:r>
        <w:rPr>
          <w:rFonts w:ascii="Segoe UI" w:cs="Segoe UI" w:eastAsia="Segoe UI" w:hAnsi="Segoe UI"/>
          <w:color w:val="222222"/>
        </w:rPr>
        <w:t xml:space="preserve"> MongoDB 6.0+ (Mongoose 9 ODM) supporting document relationships, embedded profiles, and indexing on 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email</w:t>
      </w:r>
      <w:r>
        <w:rPr>
          <w:rFonts w:ascii="Segoe UI" w:cs="Segoe UI" w:eastAsia="Segoe UI" w:hAnsi="Segoe UI"/>
          <w:color w:val="222222"/>
        </w:rPr>
        <w:t xml:space="preserve">, 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shNo</w:t>
      </w:r>
      <w:r>
        <w:rPr>
          <w:rFonts w:ascii="Segoe UI" w:cs="Segoe UI" w:eastAsia="Segoe UI" w:hAnsi="Segoe UI"/>
          <w:color w:val="222222"/>
        </w:rPr>
        <w:t xml:space="preserve">, and 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department</w:t>
      </w:r>
      <w:r>
        <w:rPr>
          <w:rFonts w:ascii="Segoe UI" w:cs="Segoe UI" w:eastAsia="Segoe UI" w:hAnsi="Segoe UI"/>
          <w:color w:val="2222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Cache Layer:</w:t>
      </w:r>
      <w:r>
        <w:rPr>
          <w:rFonts w:ascii="Segoe UI" w:cs="Segoe UI" w:eastAsia="Segoe UI" w:hAnsi="Segoe UI"/>
          <w:color w:val="222222"/>
        </w:rPr>
        <w:t xml:space="preserve"> Redis memory store (300-second TTL) for master data and public research queries.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Asset Storage:</w:t>
      </w:r>
      <w:r>
        <w:rPr>
          <w:rFonts w:ascii="Segoe UI" w:cs="Segoe UI" w:eastAsia="Segoe UI" w:hAnsi="Segoe UI"/>
          <w:color w:val="222222"/>
        </w:rPr>
        <w:t xml:space="preserve"> Dedicated 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/uploads</w:t>
      </w:r>
      <w:r>
        <w:rPr>
          <w:rFonts w:ascii="Segoe UI" w:cs="Segoe UI" w:eastAsia="Segoe UI" w:hAnsi="Segoe UI"/>
          <w:color w:val="222222"/>
        </w:rPr>
        <w:t xml:space="preserve"> filesystem store with mime-type validation and size constraint enforcement.</w:t>
      </w:r>
    </w:p>
    <w:p>
      <w:pPr>
        <w:pStyle w:val="Heading2"/>
        <w:spacing w:after="60" w:before="180"/>
      </w:pPr>
      <w:r>
        <w:rPr>
          <w:rFonts w:ascii="Segoe UI" w:cs="Segoe UI" w:eastAsia="Segoe UI" w:hAnsi="Segoe UI"/>
          <w:b/>
          <w:bCs/>
          <w:color w:val="2D6A4F"/>
          <w:sz w:val="24"/>
          <w:szCs w:val="24"/>
        </w:rPr>
        <w:t xml:space="preserve">4.3 Communication &amp; Notification Interface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Asynchronous Email Queue:</w:t>
      </w:r>
      <w:r>
        <w:rPr>
          <w:rFonts w:ascii="Segoe UI" w:cs="Segoe UI" w:eastAsia="Segoe UI" w:hAnsi="Segoe UI"/>
          <w:color w:val="222222"/>
        </w:rPr>
        <w:t xml:space="preserve"> Background worker (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utils/emailWorker.js</w:t>
      </w:r>
      <w:r>
        <w:rPr>
          <w:rFonts w:ascii="Segoe UI" w:cs="Segoe UI" w:eastAsia="Segoe UI" w:hAnsi="Segoe UI"/>
          <w:color w:val="222222"/>
        </w:rPr>
        <w:t xml:space="preserve">) backed by MongoDB 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EmailQueue</w:t>
      </w:r>
      <w:r>
        <w:rPr>
          <w:rFonts w:ascii="Segoe UI" w:cs="Segoe UI" w:eastAsia="Segoe UI" w:hAnsi="Segoe UI"/>
          <w:color w:val="222222"/>
        </w:rPr>
        <w:t xml:space="preserve"> collection, operating at 3.3 emails/sec to respect SMTP server throttling with automatic exponential backoff retry logic.</w:t>
      </w:r>
    </w:p>
    <w:p>
      <w:pPr>
        <w:pBdr>
          <w:bottom w:val="single" w:color="40916C" w:sz="6"/>
        </w:pBdr>
        <w:spacing w:after="120" w:before="120"/>
      </w:pPr>
    </w:p>
    <w:p>
      <w:pPr>
        <w:pStyle w:val="Heading1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28"/>
          <w:szCs w:val="28"/>
        </w:rPr>
        <w:t xml:space="preserve">5. Non-Functional Requirements</w:t>
      </w:r>
    </w:p>
    <w:p>
      <w:pPr>
        <w:pStyle w:val="Heading2"/>
        <w:spacing w:after="60" w:before="180"/>
      </w:pPr>
      <w:r>
        <w:rPr>
          <w:rFonts w:ascii="Segoe UI" w:cs="Segoe UI" w:eastAsia="Segoe UI" w:hAnsi="Segoe UI"/>
          <w:b/>
          <w:bCs/>
          <w:color w:val="2D6A4F"/>
          <w:sz w:val="24"/>
          <w:szCs w:val="24"/>
        </w:rPr>
        <w:t xml:space="preserve">5.1 Security Requirements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NFR-SEC-01:</w:t>
      </w:r>
      <w:r>
        <w:rPr>
          <w:rFonts w:ascii="Segoe UI" w:cs="Segoe UI" w:eastAsia="Segoe UI" w:hAnsi="Segoe UI"/>
          <w:color w:val="222222"/>
        </w:rPr>
        <w:t xml:space="preserve"> Passwords must be hashed using 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bcryptjs</w:t>
      </w:r>
      <w:r>
        <w:rPr>
          <w:rFonts w:ascii="Segoe UI" w:cs="Segoe UI" w:eastAsia="Segoe UI" w:hAnsi="Segoe UI"/>
          <w:color w:val="222222"/>
        </w:rPr>
        <w:t xml:space="preserve"> with salt rounds $\ge 10$.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NFR-SEC-02:</w:t>
      </w:r>
      <w:r>
        <w:rPr>
          <w:rFonts w:ascii="Segoe UI" w:cs="Segoe UI" w:eastAsia="Segoe UI" w:hAnsi="Segoe UI"/>
          <w:color w:val="222222"/>
        </w:rPr>
        <w:t xml:space="preserve"> HTTP response headers protected via 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helmet</w:t>
      </w:r>
      <w:r>
        <w:rPr>
          <w:rFonts w:ascii="Segoe UI" w:cs="Segoe UI" w:eastAsia="Segoe UI" w:hAnsi="Segoe UI"/>
          <w:color w:val="222222"/>
        </w:rPr>
        <w:t xml:space="preserve"> (XSS, CSP, Clickjacking mitigation).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NFR-SEC-03:</w:t>
      </w:r>
      <w:r>
        <w:rPr>
          <w:rFonts w:ascii="Segoe UI" w:cs="Segoe UI" w:eastAsia="Segoe UI" w:hAnsi="Segoe UI"/>
          <w:color w:val="222222"/>
        </w:rPr>
        <w:t xml:space="preserve"> Express 5-compatible NoSQL query sanitization to prevent MongoDB operator injection.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NFR-SEC-04:</w:t>
      </w:r>
      <w:r>
        <w:rPr>
          <w:rFonts w:ascii="Segoe UI" w:cs="Segoe UI" w:eastAsia="Segoe UI" w:hAnsi="Segoe UI"/>
          <w:color w:val="222222"/>
        </w:rPr>
        <w:t xml:space="preserve"> Strict rate limiting: Maximum 100 login attempts per 15-minute window; maximum 1,000 general API requests per 15-minute window.</w:t>
      </w:r>
    </w:p>
    <w:p>
      <w:pPr>
        <w:pStyle w:val="Heading2"/>
        <w:spacing w:after="60" w:before="180"/>
      </w:pPr>
      <w:r>
        <w:rPr>
          <w:rFonts w:ascii="Segoe UI" w:cs="Segoe UI" w:eastAsia="Segoe UI" w:hAnsi="Segoe UI"/>
          <w:b/>
          <w:bCs/>
          <w:color w:val="2D6A4F"/>
          <w:sz w:val="24"/>
          <w:szCs w:val="24"/>
        </w:rPr>
        <w:t xml:space="preserve">5.2 Performance &amp; Scalability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NFR-PERF-01:</w:t>
      </w:r>
      <w:r>
        <w:rPr>
          <w:rFonts w:ascii="Segoe UI" w:cs="Segoe UI" w:eastAsia="Segoe UI" w:hAnsi="Segoe UI"/>
          <w:color w:val="222222"/>
        </w:rPr>
        <w:t xml:space="preserve"> API response latency under 150ms for 95% of read requests under standard campus load.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NFR-PERF-02:</w:t>
      </w:r>
      <w:r>
        <w:rPr>
          <w:rFonts w:ascii="Segoe UI" w:cs="Segoe UI" w:eastAsia="Segoe UI" w:hAnsi="Segoe UI"/>
          <w:color w:val="222222"/>
        </w:rPr>
        <w:t xml:space="preserve"> Support for 10,000+ concurrent active sessions when deployed with a multi-worker cluster.</w:t>
      </w:r>
    </w:p>
    <w:p>
      <w:pPr>
        <w:pStyle w:val="Heading2"/>
        <w:spacing w:after="60" w:before="180"/>
      </w:pPr>
      <w:r>
        <w:rPr>
          <w:rFonts w:ascii="Segoe UI" w:cs="Segoe UI" w:eastAsia="Segoe UI" w:hAnsi="Segoe UI"/>
          <w:b/>
          <w:bCs/>
          <w:color w:val="2D6A4F"/>
          <w:sz w:val="24"/>
          <w:szCs w:val="24"/>
        </w:rPr>
        <w:t xml:space="preserve">5.3 Reliability &amp; Availability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NFR-REL-01:</w:t>
      </w:r>
      <w:r>
        <w:rPr>
          <w:rFonts w:ascii="Segoe UI" w:cs="Segoe UI" w:eastAsia="Segoe UI" w:hAnsi="Segoe UI"/>
          <w:color w:val="222222"/>
        </w:rPr>
        <w:t xml:space="preserve"> System availability target of 99.9% uptime during active academic semesters.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NFR-REL-02:</w:t>
      </w:r>
      <w:r>
        <w:rPr>
          <w:rFonts w:ascii="Segoe UI" w:cs="Segoe UI" w:eastAsia="Segoe UI" w:hAnsi="Segoe UI"/>
          <w:color w:val="222222"/>
        </w:rPr>
        <w:t xml:space="preserve"> Automated database snapshot mechanism with zero-data-loss point-in-time recovery.</w:t>
      </w:r>
    </w:p>
    <w:p>
      <w:pPr>
        <w:pBdr>
          <w:bottom w:val="single" w:color="40916C" w:sz="6"/>
        </w:pBdr>
        <w:spacing w:after="120" w:before="120"/>
      </w:pPr>
    </w:p>
    <w:p>
      <w:pPr>
        <w:pStyle w:val="Heading1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28"/>
          <w:szCs w:val="28"/>
        </w:rPr>
        <w:t xml:space="preserve">6. Data Dictionary &amp; Entity Relationship Summary</w:t>
      </w:r>
    </w:p>
    <w:p>
      <w:pPr>
        <w:spacing w:after="80" w:before="60" w:line="276"/>
      </w:pPr>
      <w:r>
        <w:rPr>
          <w:rFonts w:ascii="Segoe UI" w:cs="Segoe UI" w:eastAsia="Segoe UI" w:hAnsi="Segoe UI"/>
          <w:color w:val="222222"/>
        </w:rPr>
        <w:t xml:space="preserve">The backend system encapsulates 25 interconnected Mongoose document models: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64748B" w:sz="16"/>
              <w:bottom w:val="none"/>
              <w:right w:val="none"/>
            </w:tcBorders>
            <w:shd w:fill="F1F5F9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[User] (shNo, role, department, profile)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├── 1:1 ──► [Thesis] (status, title, supervisor, coursework, viva)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│             ├── 1:N ──► [RACReview] (semester, date, remarks, rating)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│             ├── 1:N ──► [Publication] (title, journal, issn, index)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│             └── 1:N ──► [Milestone] (stage, targetDate, completedDate)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├── 1:N ──► [AttendanceRecord] (studentId, subjectId, date, status)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├── 1:N ──► [LeaveRequest] (leaveType, fromDate, toDate, status)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└── 1:N ──► [AttendanceCorrection] (attendanceId, requestedBy, reason)</w:t>
            </w:r>
          </w:p>
        </w:tc>
      </w:tr>
    </w:tbl>
    <w:p>
      <w:pPr>
        <w:spacing w:after="150"/>
      </w:pPr>
    </w:p>
    <w:sectPr>
      <w:headerReference w:type="default" r:id="rId7"/>
      <w:footerReference w:type="default" r:id="rId8"/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Segoe UI" w:cs="Segoe UI" w:eastAsia="Segoe UI" w:hAnsi="Segoe UI"/>
        <w:color w:val="555555"/>
        <w:sz w:val="16"/>
        <w:szCs w:val="16"/>
      </w:rPr>
      <w:t xml:space="preserve">SCHOLARHUB™ — Confidential University Proposal</w:t>
    </w:r>
    <w:r>
      <w:rPr>
        <w:rFonts w:ascii="Segoe UI" w:cs="Segoe UI" w:eastAsia="Segoe UI" w:hAnsi="Segoe UI"/>
        <w:color w:val="555555"/>
        <w:sz w:val="16"/>
        <w:szCs w:val="16"/>
      </w:rPr>
      <w:t xml:space="preserve">    Page </w:t>
    </w:r>
    <w:r>
      <w:rPr>
        <w:rFonts w:ascii="Segoe UI" w:cs="Segoe UI" w:eastAsia="Segoe UI" w:hAnsi="Segoe U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i/>
        <w:iCs/>
        <w:color w:val="555555"/>
        <w:sz w:val="16"/>
        <w:szCs w:val="16"/>
      </w:rPr>
      <w:t xml:space="preserve">ScholarHub — Software Requirements Specification (SRS)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ScholarHub — Software Requirements Specification (SRS)</dc:title>
  <dc:creator>ScholarHub Academic Solutions</dc:creator>
  <dc:description>Institutional Documentation &amp; Proposal for Higher Education</dc:description>
  <cp:lastModifiedBy>Un-named</cp:lastModifiedBy>
  <cp:revision>1</cp:revision>
  <dcterms:created xsi:type="dcterms:W3CDTF">2026-08-31T09:47:29.599Z</dcterms:created>
  <dcterms:modified xsi:type="dcterms:W3CDTF">2026-08-31T09:47:29.599Z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