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36"/>
          <w:szCs w:val="36"/>
        </w:rPr>
        <w:t xml:space="preserve">INSTITUTIONAL IMPLEMENTATION &amp; PILOT ROADMAP</w:t>
      </w: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SCHOLARHUB™ — Seamless University Rollout &amp; Onboarding Strategy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1. Implementation Philosophy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Adopting an enterprise academic software suite across large university faculties requires a </w:t>
      </w:r>
      <w:r>
        <w:rPr>
          <w:rFonts w:ascii="Segoe UI" w:cs="Segoe UI" w:eastAsia="Segoe UI" w:hAnsi="Segoe UI"/>
          <w:b/>
          <w:bCs/>
          <w:color w:val="222222"/>
        </w:rPr>
        <w:t xml:space="preserve">Zero-Disruption Phased Rollout</w:t>
      </w:r>
      <w:r>
        <w:rPr>
          <w:rFonts w:ascii="Segoe UI" w:cs="Segoe UI" w:eastAsia="Segoe UI" w:hAnsi="Segoe UI"/>
          <w:color w:val="222222"/>
        </w:rPr>
        <w:t xml:space="preserve">. ScholarHub utilizes a structured 4-week pilot transition framework designed to guarantee high faculty adoption, data accuracy, and administrative confidence before campus-wide deployment.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16"/>
              <w:bottom w:val="none"/>
              <w:right w:val="none"/>
            </w:tcBorders>
            <w:shd w:fill="F1F5F9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WEEK 1                 WEEK 2                 WEEK 3                 WEEK 4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┌──────────────────┐   ┌──────────────────┐   ┌──────────────────┐   ┌──────────────────┐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Environment &amp;   │   │ Pilot Department │   │   Stakeholder    │   │  Live Pilot &amp;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Master Config   │──►│  Data Seeding    │──►│   Orientation    │──►│ University Review│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(IT / Admin)    │   │ (CS &amp; Biotech)   │   │  (Hands-On)      │   │  (Evaluation)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└──────────────────┘   └──────────────────┘   └──────────────────┘   └──────────────────┘</w:t>
            </w:r>
          </w:p>
        </w:tc>
      </w:tr>
    </w:tbl>
    <w:p>
      <w:pPr>
        <w:spacing w:after="150"/>
      </w:pP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2. 4-Week Phased Rollout Plan</w:t>
      </w: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📅 Phase 1: Environment Setup &amp; Master Data Configuration (Week 1)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Host Provisioning:</w:t>
      </w:r>
      <w:r>
        <w:rPr>
          <w:rFonts w:ascii="Segoe UI" w:cs="Segoe UI" w:eastAsia="Segoe UI" w:hAnsi="Segoe UI"/>
          <w:color w:val="222222"/>
        </w:rPr>
        <w:t xml:space="preserve"> Deploy ScholarHub on target infrastructure (Cloud VPS or On-Premise Campus Server).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DNS &amp; SSL Setup:</w:t>
      </w:r>
      <w:r>
        <w:rPr>
          <w:rFonts w:ascii="Segoe UI" w:cs="Segoe UI" w:eastAsia="Segoe UI" w:hAnsi="Segoe UI"/>
          <w:color w:val="222222"/>
        </w:rPr>
        <w:t xml:space="preserve"> Bind institutional subdomains: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9B2226"/>
          <w:sz w:val="20"/>
          <w:szCs w:val="20"/>
        </w:rPr>
        <w:t xml:space="preserve">portal.university.edu</w:t>
      </w:r>
      <w:r>
        <w:rPr>
          <w:rFonts w:ascii="Segoe UI" w:cs="Segoe UI" w:eastAsia="Segoe UI" w:hAnsi="Segoe UI"/>
          <w:color w:val="222222"/>
        </w:rPr>
        <w:t xml:space="preserve"> $\rightarrow$ Gateway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9B2226"/>
          <w:sz w:val="20"/>
          <w:szCs w:val="20"/>
        </w:rPr>
        <w:t xml:space="preserve">sync.university.edu</w:t>
      </w:r>
      <w:r>
        <w:rPr>
          <w:rFonts w:ascii="Segoe UI" w:cs="Segoe UI" w:eastAsia="Segoe UI" w:hAnsi="Segoe UI"/>
          <w:color w:val="222222"/>
        </w:rPr>
        <w:t xml:space="preserve"> $\rightarrow$ ScholarSync (Ph.D. Tracker)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onsolas" w:cs="Consolas" w:eastAsia="Consolas" w:hAnsi="Consolas"/>
          <w:color w:val="9B2226"/>
          <w:sz w:val="20"/>
          <w:szCs w:val="20"/>
        </w:rPr>
        <w:t xml:space="preserve">track.university.edu</w:t>
      </w:r>
      <w:r>
        <w:rPr>
          <w:rFonts w:ascii="Segoe UI" w:cs="Segoe UI" w:eastAsia="Segoe UI" w:hAnsi="Segoe UI"/>
          <w:color w:val="222222"/>
        </w:rPr>
        <w:t xml:space="preserve"> $\rightarrow$ ScholarTrack (Attendance &amp; Leave)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Institutional Branding:</w:t>
      </w:r>
      <w:r>
        <w:rPr>
          <w:rFonts w:ascii="Segoe UI" w:cs="Segoe UI" w:eastAsia="Segoe UI" w:hAnsi="Segoe UI"/>
          <w:color w:val="222222"/>
        </w:rPr>
        <w:t xml:space="preserve"> Configure university logo, seal, academic color palette, and email headers.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Academic Master Creation:</w:t>
      </w:r>
      <w:r>
        <w:rPr>
          <w:rFonts w:ascii="Segoe UI" w:cs="Segoe UI" w:eastAsia="Segoe UI" w:hAnsi="Segoe UI"/>
          <w:color w:val="222222"/>
        </w:rPr>
        <w:t xml:space="preserve"> Populate academic sessions, faculties, departments, degree types (Ph.D., M.Phil., M.Sc.), and leave policy quotas.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📅 Phase 2: Pilot Department Selection &amp; Data Migration (Week 2)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Select 2 Pilot Departments:</w:t>
      </w:r>
      <w:r>
        <w:rPr>
          <w:rFonts w:ascii="Segoe UI" w:cs="Segoe UI" w:eastAsia="Segoe UI" w:hAnsi="Segoe UI"/>
          <w:color w:val="222222"/>
        </w:rPr>
        <w:t xml:space="preserve"> Recommended: One STEM department (e.g., Computer Science / Biotechnology) and one Humanities / Social Sciences department.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Data Import / Migration: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Import existing faculty supervisors and assign designated HODs.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Import currently enrolled Ph.D. scholars (Names, Enrollment Years, Registered Topics, Assigned Supervisors).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Execute automated startup migration to backfill unique 9-digit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SH No.</w:t>
      </w:r>
      <w:r>
        <w:rPr>
          <w:rFonts w:ascii="Segoe UI" w:cs="Segoe UI" w:eastAsia="Segoe UI" w:hAnsi="Segoe UI"/>
          <w:color w:val="222222"/>
        </w:rPr>
        <w:t xml:space="preserve"> for all candidates.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Verification:</w:t>
      </w:r>
      <w:r>
        <w:rPr>
          <w:rFonts w:ascii="Segoe UI" w:cs="Segoe UI" w:eastAsia="Segoe UI" w:hAnsi="Segoe UI"/>
          <w:color w:val="222222"/>
        </w:rPr>
        <w:t xml:space="preserve"> HODs perform a quick sanity check of candidate supervisor allocations.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📅 Phase 3: Stakeholder Training &amp; Orientation (Week 3)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Interactive, role-specific 45-minute training sessions conducted virtually or on-campus: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1B4332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Session Target</w:t>
            </w:r>
          </w:p>
        </w:tc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1B4332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1B4332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Curriculum Highlights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University Deans &amp; Registrars</w:t>
            </w:r>
          </w:p>
        </w:tc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30 Mins</w:t>
            </w:r>
          </w:p>
        </w:tc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High-level reporting, NAAC/NIRF audit exports, degree award sign-offs.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Department HODs</w:t>
            </w:r>
          </w:p>
        </w:tc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45 Mins</w:t>
            </w:r>
          </w:p>
        </w:tc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Supervisor allocation, DRC scheduling, synopsis approvals, leave authorizations.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Faculty Supervisors</w:t>
            </w:r>
          </w:p>
        </w:tc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45 Mins</w:t>
            </w:r>
          </w:p>
        </w:tc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Coursework verification, RAC review logging, publication validation, attendance marking.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Research Scholars</w:t>
            </w:r>
          </w:p>
        </w:tc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30 Mins</w:t>
            </w:r>
          </w:p>
        </w:tc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Profile management, milestone submissions, publication logs, leave applications.</w:t>
            </w:r>
          </w:p>
        </w:tc>
      </w:tr>
    </w:tbl>
    <w:p>
      <w:pPr>
        <w:spacing w:after="150"/>
      </w:pPr>
    </w:p>
    <w:p>
      <w:pPr>
        <w:spacing w:after="80" w:before="60" w:line="276"/>
      </w:pPr>
      <w:r>
        <w:rPr>
          <w:rFonts w:ascii="Segoe UI" w:cs="Segoe UI" w:eastAsia="Segoe UI" w:hAnsi="Segoe UI"/>
          <w:i/>
          <w:iCs/>
          <w:color w:val="222222"/>
        </w:rPr>
        <w:t xml:space="preserve">Note: Pre-recorded video walkthroughs and PDF quick-start guides are distributed to all participants.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📅 Phase 4: Active Pilot Execution &amp; Review (Week 4)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Active Operations:</w:t>
      </w:r>
      <w:r>
        <w:rPr>
          <w:rFonts w:ascii="Segoe UI" w:cs="Segoe UI" w:eastAsia="Segoe UI" w:hAnsi="Segoe UI"/>
          <w:color w:val="222222"/>
        </w:rPr>
        <w:t xml:space="preserve"> Pilot departments conduct live DRC meetings, record RAC reviews, and log attendance on ScholarHub.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Feedback Consolidation:</w:t>
      </w:r>
      <w:r>
        <w:rPr>
          <w:rFonts w:ascii="Segoe UI" w:cs="Segoe UI" w:eastAsia="Segoe UI" w:hAnsi="Segoe UI"/>
          <w:color w:val="222222"/>
        </w:rPr>
        <w:t xml:space="preserve"> Weekly technical review with university IT coordinator to adjust any university-specific rules.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Dean / VC Presentation:</w:t>
      </w:r>
      <w:r>
        <w:rPr>
          <w:rFonts w:ascii="Segoe UI" w:cs="Segoe UI" w:eastAsia="Segoe UI" w:hAnsi="Segoe UI"/>
          <w:color w:val="222222"/>
        </w:rPr>
        <w:t xml:space="preserve"> Final demonstration of pilot metrics, audit trails, and rollout sign-off for remaining departments.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3. Data Migration &amp; Transition Strategy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To ensure zero loss of historical records, ScholarHub provides standardized CSV / Excel data templates: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16"/>
              <w:bottom w:val="none"/>
              <w:right w:val="none"/>
            </w:tcBorders>
            <w:shd w:fill="F1F5F9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                DATA IMPORT TEMPLATES        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├───────────────────────────────┬─────────────────────────────────────────┤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1. Faculty Master Import      │ Name, Designation, Email, Mobile, Dept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2. Scholar Master Import      │ Name, Enrollment No, Year, Degree, Dept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3. Supervisor Allocation Map  │ Scholar Email, Supervisor Email, Date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4. Ongoing Thesis Register    │ Scholar Email, Topic, Current Stage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└───────────────────────────────┴─────────────────────────────────────────┘</w:t>
            </w:r>
          </w:p>
        </w:tc>
      </w:tr>
    </w:tbl>
    <w:p>
      <w:pPr>
        <w:spacing w:after="150"/>
      </w:pP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Our technical team provides end-to-end assistance in transforming existing university spreadsheets into ScholarHub-ready format without requiring manual data re-entry.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4. Post-Pilot University-Wide Expansion Roadmap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Following successful completion of the 4-week pilot, the remaining university departments are onboarded in structured waves: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16"/>
              <w:bottom w:val="none"/>
              <w:right w:val="none"/>
            </w:tcBorders>
            <w:shd w:fill="F1F5F9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[Phase 1 Pilot: 2 Departments] 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│ (Sign-off)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[Wave 1 Expansion: Faculty of Science &amp; Technology (6 Departments)]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│ (2 Weeks)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[Wave 2 Expansion: Faculty of Arts, Commerce &amp; Management (8 Departments)]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│ (2 Weeks)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▼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[Wave 3 Expansion: All Affiliated Research Centers &amp; Extension Campuses]</w:t>
            </w:r>
          </w:p>
        </w:tc>
      </w:tr>
    </w:tbl>
    <w:p>
      <w:pPr>
        <w:spacing w:after="150"/>
      </w:pP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5. Success Metrics &amp; Key Performance Indicators (KPIs)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The success of the implementation will be quantitatively measured using the following institutional KPIs: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B4332"/>
        </w:rPr>
        <w:t xml:space="preserve">1. </w:t>
      </w:r>
      <w:r>
        <w:rPr>
          <w:rFonts w:ascii="Segoe UI" w:cs="Segoe UI" w:eastAsia="Segoe UI" w:hAnsi="Segoe UI"/>
          <w:b/>
          <w:bCs/>
          <w:color w:val="222222"/>
        </w:rPr>
        <w:t xml:space="preserve">Administrative Velocity:</w:t>
      </w:r>
      <w:r>
        <w:rPr>
          <w:rFonts w:ascii="Segoe UI" w:cs="Segoe UI" w:eastAsia="Segoe UI" w:hAnsi="Segoe UI"/>
          <w:color w:val="222222"/>
        </w:rPr>
        <w:t xml:space="preserve"> 100% reduction in physical file transit time between Scholars and Deans.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B4332"/>
        </w:rPr>
        <w:t xml:space="preserve">2. </w:t>
      </w:r>
      <w:r>
        <w:rPr>
          <w:rFonts w:ascii="Segoe UI" w:cs="Segoe UI" w:eastAsia="Segoe UI" w:hAnsi="Segoe UI"/>
          <w:b/>
          <w:bCs/>
          <w:color w:val="222222"/>
        </w:rPr>
        <w:t xml:space="preserve">Data Completeness:</w:t>
      </w:r>
      <w:r>
        <w:rPr>
          <w:rFonts w:ascii="Segoe UI" w:cs="Segoe UI" w:eastAsia="Segoe UI" w:hAnsi="Segoe UI"/>
          <w:color w:val="222222"/>
        </w:rPr>
        <w:t xml:space="preserve"> 100% of doctoral candidates mapped to unique </w:t>
      </w:r>
      <w:r>
        <w:rPr>
          <w:rFonts w:ascii="Consolas" w:cs="Consolas" w:eastAsia="Consolas" w:hAnsi="Consolas"/>
          <w:color w:val="9B2226"/>
          <w:sz w:val="20"/>
          <w:szCs w:val="20"/>
        </w:rPr>
        <w:t xml:space="preserve">SH No.</w:t>
      </w:r>
      <w:r>
        <w:rPr>
          <w:rFonts w:ascii="Segoe UI" w:cs="Segoe UI" w:eastAsia="Segoe UI" w:hAnsi="Segoe UI"/>
          <w:color w:val="222222"/>
        </w:rPr>
        <w:t xml:space="preserve"> with digital RAC/DRC histories.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B4332"/>
        </w:rPr>
        <w:t xml:space="preserve">3. </w:t>
      </w:r>
      <w:r>
        <w:rPr>
          <w:rFonts w:ascii="Segoe UI" w:cs="Segoe UI" w:eastAsia="Segoe UI" w:hAnsi="Segoe UI"/>
          <w:b/>
          <w:bCs/>
          <w:color w:val="222222"/>
        </w:rPr>
        <w:t xml:space="preserve">Accreditation Readiness:</w:t>
      </w:r>
      <w:r>
        <w:rPr>
          <w:rFonts w:ascii="Segoe UI" w:cs="Segoe UI" w:eastAsia="Segoe UI" w:hAnsi="Segoe UI"/>
          <w:color w:val="222222"/>
        </w:rPr>
        <w:t xml:space="preserve"> Instant generation of 5-year NAAC/NIRF research output reports in $&lt; 5$ seconds.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B4332"/>
        </w:rPr>
        <w:t xml:space="preserve">4. </w:t>
      </w:r>
      <w:r>
        <w:rPr>
          <w:rFonts w:ascii="Segoe UI" w:cs="Segoe UI" w:eastAsia="Segoe UI" w:hAnsi="Segoe UI"/>
          <w:b/>
          <w:bCs/>
          <w:color w:val="222222"/>
        </w:rPr>
        <w:t xml:space="preserve">Attendance Transparency:</w:t>
      </w:r>
      <w:r>
        <w:rPr>
          <w:rFonts w:ascii="Segoe UI" w:cs="Segoe UI" w:eastAsia="Segoe UI" w:hAnsi="Segoe UI"/>
          <w:color w:val="222222"/>
        </w:rPr>
        <w:t xml:space="preserve"> Real-time visibility into student attendance with automated notification to defaulters.</w:t>
      </w:r>
    </w:p>
    <w:sectPr>
      <w:headerReference w:type="default" r:id="rId7"/>
      <w:footerReference w:type="default" r:id="rId8"/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egoe UI" w:cs="Segoe UI" w:eastAsia="Segoe UI" w:hAnsi="Segoe UI"/>
        <w:color w:val="555555"/>
        <w:sz w:val="16"/>
        <w:szCs w:val="16"/>
      </w:rPr>
      <w:t xml:space="preserve">SCHOLARHUB™ — Confidential University Proposal</w:t>
    </w:r>
    <w:r>
      <w:rPr>
        <w:rFonts w:ascii="Segoe UI" w:cs="Segoe UI" w:eastAsia="Segoe UI" w:hAnsi="Segoe UI"/>
        <w:color w:val="555555"/>
        <w:sz w:val="16"/>
        <w:szCs w:val="16"/>
      </w:rPr>
      <w:t xml:space="preserve">    Page </w:t>
    </w:r>
    <w:r>
      <w:rPr>
        <w:rFonts w:ascii="Segoe UI" w:cs="Segoe UI" w:eastAsia="Segoe UI" w:hAnsi="Segoe U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555555"/>
        <w:sz w:val="16"/>
        <w:szCs w:val="16"/>
      </w:rPr>
      <w:t xml:space="preserve">ScholarHub — Institutional Implementation &amp; Pilot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ScholarHub — Institutional Implementation &amp; Pilot Roadmap</dc:title>
  <dc:creator>ScholarHub Academic Solutions</dc:creator>
  <dc:description>Institutional Documentation &amp; Proposal for Higher Education</dc:description>
  <cp:lastModifiedBy>Un-named</cp:lastModifiedBy>
  <cp:revision>1</cp:revision>
  <dcterms:created xsi:type="dcterms:W3CDTF">2026-08-31T09:47:29.661Z</dcterms:created>
  <dcterms:modified xsi:type="dcterms:W3CDTF">2026-08-31T09:47:29.661Z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