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Segoe UI" w:hAnsi="Segoe UI"/>
          <w:b/>
          <w:color w:val="0F172A"/>
          <w:sz w:val="48"/>
        </w:rPr>
        <w:t>Annual Report Summary</w:t>
      </w:r>
    </w:p>
    <w:p>
      <w:pPr>
        <w:spacing w:after="200"/>
        <w:jc w:val="center"/>
      </w:pPr>
      <w:r>
        <w:rPr>
          <w:rFonts w:ascii="Segoe UI" w:hAnsi="Segoe UI"/>
          <w:i/>
          <w:color w:val="475569"/>
          <w:sz w:val="24"/>
        </w:rPr>
        <w:t>Key Highlights and Insights from Recent Annual Reports</w:t>
      </w:r>
    </w:p>
    <w:p>
      <w:pPr>
        <w:spacing w:after="480"/>
        <w:jc w:val="center"/>
      </w:pPr>
      <w:r>
        <w:rPr>
          <w:rFonts w:ascii="Segoe UI" w:hAnsi="Segoe UI"/>
          <w:color w:val="64748B"/>
          <w:sz w:val="18"/>
        </w:rPr>
        <w:t>Author: Corporate Analysis Team  •  Date: 2023-10-17  •  Classification: CONFIDENTIAL</w:t>
      </w:r>
    </w:p>
    <w:p>
      <w:pPr>
        <w:keepNext/>
        <w:spacing w:before="360" w:after="120"/>
      </w:pPr>
      <w:r>
        <w:rPr>
          <w:rFonts w:ascii="Segoe UI" w:hAnsi="Segoe UI"/>
          <w:b/>
          <w:color w:val="1E3A8A"/>
          <w:sz w:val="30"/>
        </w:rPr>
        <w:t>Introduction</w:t>
      </w:r>
    </w:p>
    <w:p>
      <w:pPr>
        <w:spacing w:before="40" w:after="120" w:line="276" w:lineRule="auto"/>
      </w:pPr>
      <w:r>
        <w:rPr>
          <w:rFonts w:ascii="Segoe UI" w:hAnsi="Segoe UI"/>
          <w:b w:val="0"/>
          <w:i w:val="0"/>
          <w:color w:val="1E293B"/>
          <w:sz w:val="21"/>
        </w:rPr>
        <w:t>This document provides a summary of key highlights and insights from the recent annual reports of Indian Oil Corporation Limited. The reports cover various aspects of the company's performance, governance, and strategic initiatives.</w:t>
      </w:r>
    </w:p>
    <w:p>
      <w:pPr>
        <w:keepNext/>
        <w:spacing w:before="280" w:after="80"/>
      </w:pPr>
      <w:r>
        <w:rPr>
          <w:rFonts w:ascii="Segoe UI" w:hAnsi="Segoe UI"/>
          <w:b/>
          <w:color w:val="2563EB"/>
          <w:sz w:val="25"/>
        </w:rPr>
        <w:t>About the Report</w:t>
      </w:r>
    </w:p>
    <w:p>
      <w:pPr>
        <w:spacing w:before="40" w:after="120" w:line="276" w:lineRule="auto"/>
      </w:pPr>
      <w:r>
        <w:rPr>
          <w:rFonts w:ascii="Segoe UI" w:hAnsi="Segoe UI"/>
          <w:b w:val="0"/>
          <w:i w:val="0"/>
          <w:color w:val="1E293B"/>
          <w:sz w:val="21"/>
        </w:rPr>
        <w:t>Indian Oil Corporation Limited has been publishing its Sustainability Report since 2005-06 to share the highlights of its social, economic, and environmental performance with its stakeholders. The company aims to provide comprehensive, inclusive, and integrated information pertaining to value creation for each stakeholder group.</w:t>
      </w:r>
    </w:p>
    <w:p>
      <w:pPr>
        <w:keepNext/>
        <w:spacing w:before="280" w:after="80"/>
      </w:pPr>
      <w:r>
        <w:rPr>
          <w:rFonts w:ascii="Segoe UI" w:hAnsi="Segoe UI"/>
          <w:b/>
          <w:color w:val="2563EB"/>
          <w:sz w:val="25"/>
        </w:rPr>
        <w:t>Chairman's Message</w:t>
      </w:r>
    </w:p>
    <w:p>
      <w:pPr>
        <w:spacing w:before="40" w:after="120" w:line="276" w:lineRule="auto"/>
      </w:pPr>
      <w:r>
        <w:rPr>
          <w:rFonts w:ascii="Segoe UI" w:hAnsi="Segoe UI"/>
          <w:b w:val="0"/>
          <w:i w:val="0"/>
          <w:color w:val="1E293B"/>
          <w:sz w:val="21"/>
        </w:rPr>
        <w:t>The Chairman's message highlights the company's commitment to adopting the International Integrated Reporting Council’s (IIRC) format to communicate about the value created for stakeholders. The focus is on value creation, commercial contribution, and social responsibility.</w:t>
      </w:r>
    </w:p>
    <w:p>
      <w:pPr>
        <w:keepNext/>
        <w:spacing w:before="280" w:after="80"/>
      </w:pPr>
      <w:r>
        <w:rPr>
          <w:rFonts w:ascii="Segoe UI" w:hAnsi="Segoe UI"/>
          <w:b/>
          <w:color w:val="2563EB"/>
          <w:sz w:val="25"/>
        </w:rPr>
        <w:t>Performance Highlights</w:t>
      </w:r>
    </w:p>
    <w:p>
      <w:pPr>
        <w:spacing w:before="40" w:after="120" w:line="276" w:lineRule="auto"/>
      </w:pPr>
      <w:r>
        <w:rPr>
          <w:rFonts w:ascii="Segoe UI" w:hAnsi="Segoe UI"/>
          <w:b w:val="0"/>
          <w:i w:val="0"/>
          <w:color w:val="1E293B"/>
          <w:sz w:val="21"/>
        </w:rPr>
        <w:t>The reports detail the company's performance across various capitals: Financial, Manufactured, Human, Intellectual, Social and Relationship, and Natural capital. The emphasis is on efficient resource allocation and utilization, aiming to emerge as a financially stable international energy major.</w:t>
      </w:r>
    </w:p>
    <w:p>
      <w:pPr>
        <w:keepNext/>
        <w:spacing w:before="280" w:after="80"/>
      </w:pPr>
      <w:r>
        <w:rPr>
          <w:rFonts w:ascii="Segoe UI" w:hAnsi="Segoe UI"/>
          <w:b/>
          <w:color w:val="2563EB"/>
          <w:sz w:val="25"/>
        </w:rPr>
        <w:t>Governance and Strategy</w:t>
      </w:r>
    </w:p>
    <w:p>
      <w:pPr>
        <w:spacing w:before="40" w:after="120" w:line="276" w:lineRule="auto"/>
      </w:pPr>
      <w:r>
        <w:rPr>
          <w:rFonts w:ascii="Segoe UI" w:hAnsi="Segoe UI"/>
          <w:b w:val="0"/>
          <w:i w:val="0"/>
          <w:color w:val="1E293B"/>
          <w:sz w:val="21"/>
        </w:rPr>
        <w:t>The reports include sections on governance, strategy, risk, and opportunity management. IndianOil's strategic initiatives are aligned with its vision to be a leading energy company, contributing to India's growth story.</w:t>
      </w:r>
    </w:p>
    <w:p>
      <w:pPr>
        <w:keepNext/>
        <w:spacing w:before="280" w:after="80"/>
      </w:pPr>
      <w:r>
        <w:rPr>
          <w:rFonts w:ascii="Segoe UI" w:hAnsi="Segoe UI"/>
          <w:b/>
          <w:color w:val="2563EB"/>
          <w:sz w:val="25"/>
        </w:rPr>
        <w:t>Financial Statements</w:t>
      </w:r>
    </w:p>
    <w:p>
      <w:pPr>
        <w:spacing w:before="40" w:after="120" w:line="276" w:lineRule="auto"/>
      </w:pPr>
      <w:r>
        <w:rPr>
          <w:rFonts w:ascii="Segoe UI" w:hAnsi="Segoe UI"/>
          <w:b w:val="0"/>
          <w:i w:val="0"/>
          <w:color w:val="1E293B"/>
          <w:sz w:val="21"/>
        </w:rPr>
        <w:t>The financial statements provide a detailed account of the company's financial performance, including income statements, balance sheets, and cash flow statements. These are crucial for understanding the company's financial health and operational efficiency.</w:t>
      </w:r>
    </w:p>
    <w:p>
      <w:pPr>
        <w:keepNext/>
        <w:spacing w:before="360" w:after="120"/>
      </w:pPr>
      <w:r>
        <w:rPr>
          <w:rFonts w:ascii="Segoe UI" w:hAnsi="Segoe UI"/>
          <w:b/>
          <w:color w:val="1E3A8A"/>
          <w:sz w:val="30"/>
        </w:rPr>
        <w:t>Conclusion</w:t>
      </w:r>
    </w:p>
    <w:p>
      <w:pPr>
        <w:spacing w:before="40" w:after="120" w:line="276" w:lineRule="auto"/>
      </w:pPr>
      <w:r>
        <w:rPr>
          <w:rFonts w:ascii="Segoe UI" w:hAnsi="Segoe UI"/>
          <w:b w:val="0"/>
          <w:i w:val="0"/>
          <w:color w:val="1E293B"/>
          <w:sz w:val="21"/>
        </w:rPr>
        <w:t>Indian Oil Corporation Limited continues to demonstrate its commitment to transparency, sustainability, and stakeholder engagement through its comprehensive annual reports. The company's strategic focus on integrated reporting and value creation positions it as a leader in the energy sector.</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i/>
        <w:color w:val="94A3B8"/>
        <w:sz w:val="17"/>
      </w:rPr>
      <w:t>Bastion Sovereign AI Workbench · Sovereign Internal Record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