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Segoe UI" w:hAnsi="Segoe UI"/>
          <w:b/>
          <w:color w:val="0F172A"/>
          <w:sz w:val="48"/>
        </w:rPr>
        <w:t>Corporate Governance Bylaws &amp; Operational Analysis</w:t>
      </w:r>
    </w:p>
    <w:p>
      <w:pPr>
        <w:spacing w:after="200"/>
        <w:jc w:val="center"/>
      </w:pPr>
      <w:r>
        <w:rPr>
          <w:rFonts w:ascii="Segoe UI" w:hAnsi="Segoe UI"/>
          <w:i/>
          <w:color w:val="475569"/>
          <w:sz w:val="24"/>
        </w:rPr>
        <w:t>Comprehensive Statutory Review, Board Oversight, and Standing Committee Charters</w:t>
      </w:r>
    </w:p>
    <w:p>
      <w:pPr>
        <w:spacing w:after="480"/>
        <w:jc w:val="center"/>
      </w:pPr>
      <w:r>
        <w:rPr>
          <w:rFonts w:ascii="Segoe UI" w:hAnsi="Segoe UI"/>
          <w:color w:val="64748B"/>
          <w:sz w:val="18"/>
        </w:rPr>
        <w:t>Author: Indian Oil Admin  •  Date: September 13, 2026  •  Classification: OFFICIAL / SOVEREIGN AUDITED</w:t>
      </w:r>
    </w:p>
    <w:p>
      <w:pPr>
        <w:keepNext/>
        <w:spacing w:before="360" w:after="120"/>
      </w:pPr>
      <w:r>
        <w:rPr>
          <w:rFonts w:ascii="Segoe UI" w:hAnsi="Segoe UI"/>
          <w:b/>
          <w:color w:val="1E3A8A"/>
          <w:sz w:val="30"/>
        </w:rPr>
        <w:t>1. Executive Summary &amp; Legal Framework</w:t>
      </w:r>
    </w:p>
    <w:p>
      <w:pPr>
        <w:spacing w:before="40" w:after="120" w:line="276" w:lineRule="auto"/>
      </w:pPr>
      <w:r>
        <w:rPr>
          <w:rFonts w:ascii="Segoe UI" w:hAnsi="Segoe UI"/>
          <w:b w:val="0"/>
          <w:i w:val="0"/>
          <w:color w:val="1E293B"/>
          <w:sz w:val="21"/>
        </w:rPr>
        <w:t>This formal governance deliverable establishes the statutory architecture, fiduciary responsibilities, and procedural controls codified in the corporate bylaws. Bylaws represent the internal constitution of the enterprise, governing shareholder rights, executive mandates, and administrative transparency under prevailing corporate statutes.</w:t>
      </w:r>
    </w:p>
    <w:tbl>
      <w:tblPr>
        <w:tblW w:type="auto" w:w="0"/>
        <w:jc w:val="center"/>
        <w:tblLook w:firstColumn="1" w:firstRow="1" w:lastColumn="0" w:lastRow="0" w:noHBand="0" w:noVBand="1" w:val="04A0"/>
        <w:tblBorders>
          <w:left w:val="single" w:sz="24" w:space="0" w:color="1E3A8A"/>
          <w:top w:val="none"/>
          <w:bottom w:val="none"/>
          <w:right w:val="none"/>
        </w:tblBorders>
      </w:tblPr>
      <w:tblGrid>
        <w:gridCol w:w="9360"/>
      </w:tblGrid>
      <w:tr>
        <w:tc>
          <w:tcPr>
            <w:tcW w:type="dxa" w:w="9360"/>
            <w:shd w:fill="F1F5F9"/>
            <w:tcMar>
              <w:top w:w="140" w:type="dxa"/>
              <w:bottom w:w="140" w:type="dxa"/>
              <w:left w:w="180" w:type="dxa"/>
              <w:right w:w="160" w:type="dxa"/>
            </w:tcMar>
          </w:tcPr>
          <w:p>
            <w:pPr>
              <w:spacing w:before="0" w:after="0" w:line="276" w:lineRule="auto"/>
            </w:pPr>
            <w:r>
              <w:rPr>
                <w:rFonts w:ascii="Segoe UI" w:hAnsi="Segoe UI"/>
                <w:b w:val="0"/>
                <w:i/>
                <w:color w:val="0F172A"/>
                <w:sz w:val="20"/>
              </w:rPr>
              <w:t>Statutory Mandate: Corporate bylaws are legally binding upon all officers, directors, and committees. Any amendment requires formal board sponsorship and a supermajority affirmative vote.</w:t>
            </w:r>
          </w:p>
        </w:tc>
      </w:tr>
    </w:tbl>
    <w:p>
      <w:pPr>
        <w:spacing w:after="120"/>
      </w:pPr>
    </w:p>
    <w:p>
      <w:pPr>
        <w:keepNext/>
        <w:spacing w:before="360" w:after="120"/>
      </w:pPr>
      <w:r>
        <w:rPr>
          <w:rFonts w:ascii="Segoe UI" w:hAnsi="Segoe UI"/>
          <w:b/>
          <w:color w:val="1E3A8A"/>
          <w:sz w:val="30"/>
        </w:rPr>
        <w:t>2. Membership Records &amp; Confidentiality Architecture</w:t>
      </w:r>
    </w:p>
    <w:tbl>
      <w:tblPr>
        <w:tblW w:type="auto" w:w="0"/>
        <w:jc w:val="center"/>
        <w:tblLook w:firstColumn="1" w:firstRow="1" w:lastColumn="0" w:lastRow="0" w:noHBand="0" w:noVBand="1" w:val="04A0"/>
        <w:tblBorders>
          <w:left w:val="single" w:sz="24" w:space="0" w:color="1E3A8A"/>
          <w:top w:val="none"/>
          <w:bottom w:val="none"/>
          <w:right w:val="none"/>
        </w:tblBorders>
      </w:tblPr>
      <w:tblGrid>
        <w:gridCol w:w="9360"/>
      </w:tblGrid>
      <w:tr>
        <w:tc>
          <w:tcPr>
            <w:tcW w:type="dxa" w:w="9360"/>
            <w:shd w:fill="F1F5F9"/>
            <w:tcMar>
              <w:top w:w="140" w:type="dxa"/>
              <w:bottom w:w="140" w:type="dxa"/>
              <w:left w:w="180" w:type="dxa"/>
              <w:right w:w="160" w:type="dxa"/>
            </w:tcMar>
          </w:tcPr>
          <w:p>
            <w:pPr>
              <w:spacing w:before="0" w:after="0" w:line="276" w:lineRule="auto"/>
            </w:pPr>
            <w:r>
              <w:rPr>
                <w:rFonts w:ascii="Segoe UI" w:hAnsi="Segoe UI"/>
                <w:b w:val="0"/>
                <w:i/>
                <w:color w:val="0F172A"/>
                <w:sz w:val="20"/>
              </w:rPr>
              <w:t>Record Inspection Rule: Member lists shall not be disclosed, published, or utilized for commercial solicitation under Article II Section 2.</w:t>
            </w:r>
          </w:p>
        </w:tc>
      </w:tr>
    </w:tbl>
    <w:p>
      <w:pPr>
        <w:spacing w:after="120"/>
      </w:pPr>
    </w:p>
    <w:p>
      <w:pPr>
        <w:spacing w:before="40" w:after="120" w:line="276" w:lineRule="auto"/>
      </w:pPr>
      <w:r>
        <w:rPr>
          <w:rFonts w:ascii="Segoe UI" w:hAnsi="Segoe UI"/>
          <w:b w:val="0"/>
          <w:i w:val="0"/>
          <w:color w:val="1E293B"/>
          <w:sz w:val="21"/>
        </w:rPr>
        <w:t>Corporate bylaws strictly regulate the custody, maintenance, and dissemination of organizational records to safeguard institutional privacy and proprietary data:</w:t>
      </w:r>
    </w:p>
    <w:p>
      <w:pPr>
        <w:pStyle w:val="ListBullet"/>
        <w:spacing w:before="20" w:after="60" w:line="276" w:lineRule="auto"/>
      </w:pPr>
      <w:r>
        <w:rPr>
          <w:rFonts w:ascii="Segoe UI" w:hAnsi="Segoe UI"/>
          <w:b/>
          <w:i w:val="0"/>
          <w:color w:val="1E293B"/>
          <w:sz w:val="21"/>
        </w:rPr>
        <w:t>Confidential Registry</w:t>
      </w:r>
      <w:r>
        <w:rPr>
          <w:rFonts w:ascii="Segoe UI" w:hAnsi="Segoe UI"/>
          <w:b w:val="0"/>
          <w:i w:val="0"/>
          <w:color w:val="1E293B"/>
          <w:sz w:val="21"/>
        </w:rPr>
        <w:t>: The Corporate Secretary is required to maintain complete and confidential records of all registered members, officers, and voting delegates.</w:t>
      </w:r>
    </w:p>
    <w:p>
      <w:pPr>
        <w:pStyle w:val="ListBullet"/>
        <w:spacing w:before="20" w:after="60" w:line="276" w:lineRule="auto"/>
      </w:pPr>
      <w:r>
        <w:rPr>
          <w:rFonts w:ascii="Segoe UI" w:hAnsi="Segoe UI"/>
          <w:b/>
          <w:i w:val="0"/>
          <w:color w:val="1E293B"/>
          <w:sz w:val="21"/>
        </w:rPr>
        <w:t>Conditions for Distribution</w:t>
      </w:r>
      <w:r>
        <w:rPr>
          <w:rFonts w:ascii="Segoe UI" w:hAnsi="Segoe UI"/>
          <w:b w:val="0"/>
          <w:i w:val="0"/>
          <w:color w:val="1E293B"/>
          <w:sz w:val="21"/>
        </w:rPr>
        <w:t>: Membership lists may only be inspected or distributed upon written petition demonstrating proper corporate purpose, subject to executive approval.</w:t>
      </w:r>
    </w:p>
    <w:p>
      <w:pPr>
        <w:pStyle w:val="ListBullet"/>
        <w:spacing w:before="20" w:after="60" w:line="276" w:lineRule="auto"/>
      </w:pPr>
      <w:r>
        <w:rPr>
          <w:rFonts w:ascii="Segoe UI" w:hAnsi="Segoe UI"/>
          <w:b/>
          <w:i w:val="0"/>
          <w:color w:val="1E293B"/>
          <w:sz w:val="21"/>
        </w:rPr>
        <w:t>Data Privacy Compliance</w:t>
      </w:r>
      <w:r>
        <w:rPr>
          <w:rFonts w:ascii="Segoe UI" w:hAnsi="Segoe UI"/>
          <w:b w:val="0"/>
          <w:i w:val="0"/>
          <w:color w:val="1E293B"/>
          <w:sz w:val="21"/>
        </w:rPr>
        <w:t>: All member information must be maintained under sovereign, role-based access controls to prevent unauthorized external egress.</w:t>
      </w:r>
    </w:p>
    <w:p>
      <w:pPr>
        <w:keepNext/>
        <w:spacing w:before="360" w:after="120"/>
      </w:pPr>
      <w:r>
        <w:rPr>
          <w:rFonts w:ascii="Segoe UI" w:hAnsi="Segoe UI"/>
          <w:b/>
          <w:color w:val="1E3A8A"/>
          <w:sz w:val="30"/>
        </w:rPr>
        <w:t>3. Board of Directors: Powers, Structure &amp; Liability</w:t>
      </w:r>
    </w:p>
    <w:p>
      <w:pPr>
        <w:spacing w:before="40" w:after="120" w:line="276" w:lineRule="auto"/>
      </w:pPr>
      <w:r>
        <w:rPr>
          <w:rFonts w:ascii="Segoe UI" w:hAnsi="Segoe UI"/>
          <w:b w:val="0"/>
          <w:i w:val="0"/>
          <w:color w:val="1E293B"/>
          <w:sz w:val="21"/>
        </w:rPr>
        <w:t>The Board of Directors serves as the supreme governing authority of the corporation, possessing plenary power over institutional strategy, major contracts, and capital expenditures.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shd w:fill="1E3A8A"/>
            <w:tcMar>
              <w:top w:w="120" w:type="dxa"/>
              <w:bottom w:w="120" w:type="dxa"/>
              <w:left w:w="140" w:type="dxa"/>
              <w:right w:w="140" w:type="dxa"/>
            </w:tcMar>
          </w:tcPr>
          <w:p>
            <w:pPr>
              <w:spacing w:before="0" w:after="0"/>
            </w:pPr>
            <w:r>
              <w:rPr>
                <w:rFonts w:ascii="Segoe UI" w:hAnsi="Segoe UI"/>
                <w:b/>
                <w:color w:val="FFFFFF"/>
                <w:sz w:val="20"/>
              </w:rPr>
              <w:t>Governance Dimension</w:t>
            </w:r>
          </w:p>
        </w:tc>
        <w:tc>
          <w:tcPr>
            <w:tcW w:type="dxa" w:w="2340"/>
            <w:shd w:fill="1E3A8A"/>
            <w:tcMar>
              <w:top w:w="120" w:type="dxa"/>
              <w:bottom w:w="120" w:type="dxa"/>
              <w:left w:w="140" w:type="dxa"/>
              <w:right w:w="140" w:type="dxa"/>
            </w:tcMar>
          </w:tcPr>
          <w:p>
            <w:pPr>
              <w:spacing w:before="0" w:after="0"/>
            </w:pPr>
            <w:r>
              <w:rPr>
                <w:rFonts w:ascii="Segoe UI" w:hAnsi="Segoe UI"/>
                <w:b/>
                <w:color w:val="FFFFFF"/>
                <w:sz w:val="20"/>
              </w:rPr>
              <w:t>Bylaw Specification</w:t>
            </w:r>
          </w:p>
        </w:tc>
        <w:tc>
          <w:tcPr>
            <w:tcW w:type="dxa" w:w="2340"/>
            <w:shd w:fill="1E3A8A"/>
            <w:tcMar>
              <w:top w:w="120" w:type="dxa"/>
              <w:bottom w:w="120" w:type="dxa"/>
              <w:left w:w="140" w:type="dxa"/>
              <w:right w:w="140" w:type="dxa"/>
            </w:tcMar>
          </w:tcPr>
          <w:p>
            <w:pPr>
              <w:spacing w:before="0" w:after="0"/>
            </w:pPr>
            <w:r>
              <w:rPr>
                <w:rFonts w:ascii="Segoe UI" w:hAnsi="Segoe UI"/>
                <w:b/>
                <w:color w:val="FFFFFF"/>
                <w:sz w:val="20"/>
              </w:rPr>
              <w:t>Quorum &amp; Voting Rule</w:t>
            </w:r>
          </w:p>
        </w:tc>
        <w:tc>
          <w:tcPr>
            <w:tcW w:type="dxa" w:w="2340"/>
            <w:shd w:fill="1E3A8A"/>
            <w:tcMar>
              <w:top w:w="120" w:type="dxa"/>
              <w:bottom w:w="120" w:type="dxa"/>
              <w:left w:w="140" w:type="dxa"/>
              <w:right w:w="140" w:type="dxa"/>
            </w:tcMar>
          </w:tcPr>
          <w:p>
            <w:pPr>
              <w:spacing w:before="0" w:after="0"/>
            </w:pPr>
            <w:r>
              <w:rPr>
                <w:rFonts w:ascii="Segoe UI" w:hAnsi="Segoe UI"/>
                <w:b/>
                <w:color w:val="FFFFFF"/>
                <w:sz w:val="20"/>
              </w:rPr>
              <w:t>Term Limit</w:t>
            </w:r>
          </w:p>
        </w:tc>
      </w:tr>
      <w:tr>
        <w:tc>
          <w:tcPr>
            <w:tcW w:type="dxa" w:w="2340"/>
            <w:shd w:fill="F8FAFC"/>
            <w:tcMar>
              <w:top w:w="90" w:type="dxa"/>
              <w:bottom w:w="90" w:type="dxa"/>
              <w:left w:w="140" w:type="dxa"/>
              <w:right w:w="140" w:type="dxa"/>
            </w:tcMar>
          </w:tcPr>
          <w:p>
            <w:pPr>
              <w:spacing w:before="0" w:after="0"/>
            </w:pPr>
            <w:r>
              <w:rPr>
                <w:rFonts w:ascii="Segoe UI" w:hAnsi="Segoe UI"/>
                <w:b w:val="0"/>
                <w:i w:val="0"/>
                <w:color w:val="1E293B"/>
                <w:sz w:val="19"/>
              </w:rPr>
              <w:t>Board Size &amp; Composition</w:t>
            </w:r>
          </w:p>
        </w:tc>
        <w:tc>
          <w:tcPr>
            <w:tcW w:type="dxa" w:w="2340"/>
            <w:shd w:fill="F8FAFC"/>
            <w:tcMar>
              <w:top w:w="90" w:type="dxa"/>
              <w:bottom w:w="90" w:type="dxa"/>
              <w:left w:w="140" w:type="dxa"/>
              <w:right w:w="140" w:type="dxa"/>
            </w:tcMar>
          </w:tcPr>
          <w:p>
            <w:pPr>
              <w:spacing w:before="0" w:after="0"/>
            </w:pPr>
            <w:r>
              <w:rPr>
                <w:rFonts w:ascii="Segoe UI" w:hAnsi="Segoe UI"/>
                <w:b w:val="0"/>
                <w:i w:val="0"/>
                <w:color w:val="1E293B"/>
                <w:sz w:val="19"/>
              </w:rPr>
              <w:t>Fixed at 7 to 15 Directors</w:t>
            </w:r>
          </w:p>
        </w:tc>
        <w:tc>
          <w:tcPr>
            <w:tcW w:type="dxa" w:w="2340"/>
            <w:shd w:fill="F8FAFC"/>
            <w:tcMar>
              <w:top w:w="90" w:type="dxa"/>
              <w:bottom w:w="90" w:type="dxa"/>
              <w:left w:w="140" w:type="dxa"/>
              <w:right w:w="140" w:type="dxa"/>
            </w:tcMar>
          </w:tcPr>
          <w:p>
            <w:pPr>
              <w:spacing w:before="0" w:after="0"/>
            </w:pPr>
            <w:r>
              <w:rPr>
                <w:rFonts w:ascii="Segoe UI" w:hAnsi="Segoe UI"/>
                <w:b w:val="0"/>
                <w:i w:val="0"/>
                <w:color w:val="1E293B"/>
                <w:sz w:val="19"/>
              </w:rPr>
              <w:t>Simple Majority (50% + 1)</w:t>
            </w:r>
          </w:p>
        </w:tc>
        <w:tc>
          <w:tcPr>
            <w:tcW w:type="dxa" w:w="2340"/>
            <w:shd w:fill="F8FAFC"/>
            <w:tcMar>
              <w:top w:w="90" w:type="dxa"/>
              <w:bottom w:w="90" w:type="dxa"/>
              <w:left w:w="140" w:type="dxa"/>
              <w:right w:w="140" w:type="dxa"/>
            </w:tcMar>
          </w:tcPr>
          <w:p>
            <w:pPr>
              <w:spacing w:before="0" w:after="0"/>
            </w:pPr>
            <w:r>
              <w:rPr>
                <w:rFonts w:ascii="Segoe UI" w:hAnsi="Segoe UI"/>
                <w:b w:val="0"/>
                <w:i w:val="0"/>
                <w:color w:val="1E293B"/>
                <w:sz w:val="19"/>
              </w:rPr>
              <w:t>3 Years (Staggered Classes)</w:t>
            </w:r>
          </w:p>
        </w:tc>
      </w:tr>
      <w:tr>
        <w:tc>
          <w:tcPr>
            <w:tcW w:type="dxa" w:w="2340"/>
            <w:shd w:fill="FFFFFF"/>
            <w:tcMar>
              <w:top w:w="90" w:type="dxa"/>
              <w:bottom w:w="90" w:type="dxa"/>
              <w:left w:w="140" w:type="dxa"/>
              <w:right w:w="140" w:type="dxa"/>
            </w:tcMar>
          </w:tcPr>
          <w:p>
            <w:pPr>
              <w:spacing w:before="0" w:after="0"/>
            </w:pPr>
            <w:r>
              <w:rPr>
                <w:rFonts w:ascii="Segoe UI" w:hAnsi="Segoe UI"/>
                <w:b w:val="0"/>
                <w:i w:val="0"/>
                <w:color w:val="1E293B"/>
                <w:sz w:val="19"/>
              </w:rPr>
              <w:t>Fiduciary Liability</w:t>
            </w:r>
          </w:p>
        </w:tc>
        <w:tc>
          <w:tcPr>
            <w:tcW w:type="dxa" w:w="2340"/>
            <w:shd w:fill="FFFFFF"/>
            <w:tcMar>
              <w:top w:w="90" w:type="dxa"/>
              <w:bottom w:w="90" w:type="dxa"/>
              <w:left w:w="140" w:type="dxa"/>
              <w:right w:w="140" w:type="dxa"/>
            </w:tcMar>
          </w:tcPr>
          <w:p>
            <w:pPr>
              <w:spacing w:before="0" w:after="0"/>
            </w:pPr>
            <w:r>
              <w:rPr>
                <w:rFonts w:ascii="Segoe UI" w:hAnsi="Segoe UI"/>
                <w:b w:val="0"/>
                <w:i w:val="0"/>
                <w:color w:val="1E293B"/>
                <w:sz w:val="19"/>
              </w:rPr>
              <w:t>Indemnification against third-party claims</w:t>
            </w:r>
          </w:p>
        </w:tc>
        <w:tc>
          <w:tcPr>
            <w:tcW w:type="dxa" w:w="2340"/>
            <w:shd w:fill="FFFFFF"/>
            <w:tcMar>
              <w:top w:w="90" w:type="dxa"/>
              <w:bottom w:w="90" w:type="dxa"/>
              <w:left w:w="140" w:type="dxa"/>
              <w:right w:w="140" w:type="dxa"/>
            </w:tcMar>
          </w:tcPr>
          <w:p>
            <w:pPr>
              <w:spacing w:before="0" w:after="0"/>
            </w:pPr>
            <w:r>
              <w:rPr>
                <w:rFonts w:ascii="Segoe UI" w:hAnsi="Segoe UI"/>
                <w:b w:val="0"/>
                <w:i w:val="0"/>
                <w:color w:val="1E293B"/>
                <w:sz w:val="19"/>
              </w:rPr>
              <w:t>Standard Business Judgment Rule</w:t>
            </w:r>
          </w:p>
        </w:tc>
        <w:tc>
          <w:tcPr>
            <w:tcW w:type="dxa" w:w="2340"/>
            <w:shd w:fill="FFFFFF"/>
            <w:tcMar>
              <w:top w:w="90" w:type="dxa"/>
              <w:bottom w:w="90" w:type="dxa"/>
              <w:left w:w="140" w:type="dxa"/>
              <w:right w:w="140" w:type="dxa"/>
            </w:tcMar>
          </w:tcPr>
          <w:p>
            <w:pPr>
              <w:spacing w:before="0" w:after="0"/>
            </w:pPr>
            <w:r>
              <w:rPr>
                <w:rFonts w:ascii="Segoe UI" w:hAnsi="Segoe UI"/>
                <w:b w:val="0"/>
                <w:i w:val="0"/>
                <w:color w:val="1E293B"/>
                <w:sz w:val="19"/>
              </w:rPr>
              <w:t>Tenure of Service</w:t>
            </w:r>
          </w:p>
        </w:tc>
      </w:tr>
      <w:tr>
        <w:tc>
          <w:tcPr>
            <w:tcW w:type="dxa" w:w="2340"/>
            <w:shd w:fill="F8FAFC"/>
            <w:tcMar>
              <w:top w:w="90" w:type="dxa"/>
              <w:bottom w:w="90" w:type="dxa"/>
              <w:left w:w="140" w:type="dxa"/>
              <w:right w:w="140" w:type="dxa"/>
            </w:tcMar>
          </w:tcPr>
          <w:p>
            <w:pPr>
              <w:spacing w:before="0" w:after="0"/>
            </w:pPr>
            <w:r>
              <w:rPr>
                <w:rFonts w:ascii="Segoe UI" w:hAnsi="Segoe UI"/>
                <w:b w:val="0"/>
                <w:i w:val="0"/>
                <w:color w:val="1E293B"/>
                <w:sz w:val="19"/>
              </w:rPr>
              <w:t>Board Officer Elections</w:t>
            </w:r>
          </w:p>
        </w:tc>
        <w:tc>
          <w:tcPr>
            <w:tcW w:type="dxa" w:w="2340"/>
            <w:shd w:fill="F8FAFC"/>
            <w:tcMar>
              <w:top w:w="90" w:type="dxa"/>
              <w:bottom w:w="90" w:type="dxa"/>
              <w:left w:w="140" w:type="dxa"/>
              <w:right w:w="140" w:type="dxa"/>
            </w:tcMar>
          </w:tcPr>
          <w:p>
            <w:pPr>
              <w:spacing w:before="0" w:after="0"/>
            </w:pPr>
            <w:r>
              <w:rPr>
                <w:rFonts w:ascii="Segoe UI" w:hAnsi="Segoe UI"/>
                <w:b w:val="0"/>
                <w:i w:val="0"/>
                <w:color w:val="1E293B"/>
                <w:sz w:val="19"/>
              </w:rPr>
              <w:t>President, Vice President, Treasurer, Secretary</w:t>
            </w:r>
          </w:p>
        </w:tc>
        <w:tc>
          <w:tcPr>
            <w:tcW w:type="dxa" w:w="2340"/>
            <w:shd w:fill="F8FAFC"/>
            <w:tcMar>
              <w:top w:w="90" w:type="dxa"/>
              <w:bottom w:w="90" w:type="dxa"/>
              <w:left w:w="140" w:type="dxa"/>
              <w:right w:w="140" w:type="dxa"/>
            </w:tcMar>
          </w:tcPr>
          <w:p>
            <w:pPr>
              <w:spacing w:before="0" w:after="0"/>
            </w:pPr>
            <w:r>
              <w:rPr>
                <w:rFonts w:ascii="Segoe UI" w:hAnsi="Segoe UI"/>
                <w:b w:val="0"/>
                <w:i w:val="0"/>
                <w:color w:val="1E293B"/>
                <w:sz w:val="19"/>
              </w:rPr>
              <w:t>Majority of seated Directors</w:t>
            </w:r>
          </w:p>
        </w:tc>
        <w:tc>
          <w:tcPr>
            <w:tcW w:type="dxa" w:w="2340"/>
            <w:shd w:fill="F8FAFC"/>
            <w:tcMar>
              <w:top w:w="90" w:type="dxa"/>
              <w:bottom w:w="90" w:type="dxa"/>
              <w:left w:w="140" w:type="dxa"/>
              <w:right w:w="140" w:type="dxa"/>
            </w:tcMar>
          </w:tcPr>
          <w:p>
            <w:pPr>
              <w:spacing w:before="0" w:after="0"/>
            </w:pPr>
            <w:r>
              <w:rPr>
                <w:rFonts w:ascii="Segoe UI" w:hAnsi="Segoe UI"/>
                <w:b w:val="0"/>
                <w:i w:val="0"/>
                <w:color w:val="1E293B"/>
                <w:sz w:val="19"/>
              </w:rPr>
              <w:t>Annual Re-election</w:t>
            </w:r>
          </w:p>
        </w:tc>
      </w:tr>
      <w:tr>
        <w:tc>
          <w:tcPr>
            <w:tcW w:type="dxa" w:w="2340"/>
            <w:shd w:fill="FFFFFF"/>
            <w:tcMar>
              <w:top w:w="90" w:type="dxa"/>
              <w:bottom w:w="90" w:type="dxa"/>
              <w:left w:w="140" w:type="dxa"/>
              <w:right w:w="140" w:type="dxa"/>
            </w:tcMar>
          </w:tcPr>
          <w:p>
            <w:pPr>
              <w:spacing w:before="0" w:after="0"/>
            </w:pPr>
            <w:r>
              <w:rPr>
                <w:rFonts w:ascii="Segoe UI" w:hAnsi="Segoe UI"/>
                <w:b w:val="0"/>
                <w:i w:val="0"/>
                <w:color w:val="1E293B"/>
                <w:sz w:val="19"/>
              </w:rPr>
              <w:t>Emergency Powers</w:t>
            </w:r>
          </w:p>
        </w:tc>
        <w:tc>
          <w:tcPr>
            <w:tcW w:type="dxa" w:w="2340"/>
            <w:shd w:fill="FFFFFF"/>
            <w:tcMar>
              <w:top w:w="90" w:type="dxa"/>
              <w:bottom w:w="90" w:type="dxa"/>
              <w:left w:w="140" w:type="dxa"/>
              <w:right w:w="140" w:type="dxa"/>
            </w:tcMar>
          </w:tcPr>
          <w:p>
            <w:pPr>
              <w:spacing w:before="0" w:after="0"/>
            </w:pPr>
            <w:r>
              <w:rPr>
                <w:rFonts w:ascii="Segoe UI" w:hAnsi="Segoe UI"/>
                <w:b w:val="0"/>
                <w:i w:val="0"/>
                <w:color w:val="1E293B"/>
                <w:sz w:val="19"/>
              </w:rPr>
              <w:t>Interim quorum reduction during force majeure</w:t>
            </w:r>
          </w:p>
        </w:tc>
        <w:tc>
          <w:tcPr>
            <w:tcW w:type="dxa" w:w="2340"/>
            <w:shd w:fill="FFFFFF"/>
            <w:tcMar>
              <w:top w:w="90" w:type="dxa"/>
              <w:bottom w:w="90" w:type="dxa"/>
              <w:left w:w="140" w:type="dxa"/>
              <w:right w:w="140" w:type="dxa"/>
            </w:tcMar>
          </w:tcPr>
          <w:p>
            <w:pPr>
              <w:spacing w:before="0" w:after="0"/>
            </w:pPr>
            <w:r>
              <w:rPr>
                <w:rFonts w:ascii="Segoe UI" w:hAnsi="Segoe UI"/>
                <w:b w:val="0"/>
                <w:i w:val="0"/>
                <w:color w:val="1E293B"/>
                <w:sz w:val="19"/>
              </w:rPr>
              <w:t>Three active Directors</w:t>
            </w:r>
          </w:p>
        </w:tc>
        <w:tc>
          <w:tcPr>
            <w:tcW w:type="dxa" w:w="2340"/>
            <w:shd w:fill="FFFFFF"/>
            <w:tcMar>
              <w:top w:w="90" w:type="dxa"/>
              <w:bottom w:w="90" w:type="dxa"/>
              <w:left w:w="140" w:type="dxa"/>
              <w:right w:w="140" w:type="dxa"/>
            </w:tcMar>
          </w:tcPr>
          <w:p>
            <w:pPr>
              <w:spacing w:before="0" w:after="0"/>
            </w:pPr>
            <w:r>
              <w:rPr>
                <w:rFonts w:ascii="Segoe UI" w:hAnsi="Segoe UI"/>
                <w:b w:val="0"/>
                <w:i w:val="0"/>
                <w:color w:val="1E293B"/>
                <w:sz w:val="19"/>
              </w:rPr>
              <w:t>Duration of Emergency</w:t>
            </w:r>
          </w:p>
        </w:tc>
      </w:tr>
    </w:tbl>
    <w:p>
      <w:pPr>
        <w:spacing w:after="160"/>
      </w:pPr>
    </w:p>
    <w:p>
      <w:pPr>
        <w:keepNext/>
        <w:spacing w:before="360" w:after="120"/>
      </w:pPr>
      <w:r>
        <w:rPr>
          <w:rFonts w:ascii="Segoe UI" w:hAnsi="Segoe UI"/>
          <w:b/>
          <w:color w:val="1E3A8A"/>
          <w:sz w:val="30"/>
        </w:rPr>
        <w:t>4. Standing Governance Committees</w:t>
      </w:r>
    </w:p>
    <w:p>
      <w:pPr>
        <w:spacing w:before="40" w:after="120" w:line="276" w:lineRule="auto"/>
      </w:pPr>
      <w:r>
        <w:rPr>
          <w:rFonts w:ascii="Segoe UI" w:hAnsi="Segoe UI"/>
          <w:b w:val="0"/>
          <w:i w:val="0"/>
          <w:color w:val="1E293B"/>
          <w:sz w:val="21"/>
        </w:rPr>
        <w:t>To ensure rigorous oversight across specialized corporate domains, bylaws establish standing committees with defined mandates and reporting cadences:</w:t>
      </w:r>
    </w:p>
    <w:p>
      <w:pPr>
        <w:pStyle w:val="ListBullet"/>
        <w:spacing w:before="20" w:after="60" w:line="276" w:lineRule="auto"/>
      </w:pPr>
      <w:r>
        <w:rPr>
          <w:rFonts w:ascii="Segoe UI" w:hAnsi="Segoe UI"/>
          <w:b/>
          <w:i w:val="0"/>
          <w:color w:val="1E293B"/>
          <w:sz w:val="21"/>
        </w:rPr>
        <w:t>Policy, Procedures &amp; Bylaws Committee</w:t>
      </w:r>
      <w:r>
        <w:rPr>
          <w:rFonts w:ascii="Segoe UI" w:hAnsi="Segoe UI"/>
          <w:b w:val="0"/>
          <w:i w:val="0"/>
          <w:color w:val="1E293B"/>
          <w:sz w:val="21"/>
        </w:rPr>
        <w:t>: Formulates constitutional amendments, reviews statutory compliance, and drafts regulatory petitions.</w:t>
      </w:r>
    </w:p>
    <w:p>
      <w:pPr>
        <w:pStyle w:val="ListBullet"/>
        <w:spacing w:before="20" w:after="60" w:line="276" w:lineRule="auto"/>
      </w:pPr>
      <w:r>
        <w:rPr>
          <w:rFonts w:ascii="Segoe UI" w:hAnsi="Segoe UI"/>
          <w:b/>
          <w:i w:val="0"/>
          <w:color w:val="1E293B"/>
          <w:sz w:val="21"/>
        </w:rPr>
        <w:t>Audit &amp; Risk Governance Committee</w:t>
      </w:r>
      <w:r>
        <w:rPr>
          <w:rFonts w:ascii="Segoe UI" w:hAnsi="Segoe UI"/>
          <w:b w:val="0"/>
          <w:i w:val="0"/>
          <w:color w:val="1E293B"/>
          <w:sz w:val="21"/>
        </w:rPr>
        <w:t>: Conducts independent reviews of financial statements, internal control audits, and cyber-sovereignty standards.</w:t>
      </w:r>
    </w:p>
    <w:p>
      <w:pPr>
        <w:pStyle w:val="ListBullet"/>
        <w:spacing w:before="20" w:after="60" w:line="276" w:lineRule="auto"/>
      </w:pPr>
      <w:r>
        <w:rPr>
          <w:rFonts w:ascii="Segoe UI" w:hAnsi="Segoe UI"/>
          <w:b/>
          <w:i w:val="0"/>
          <w:color w:val="1E293B"/>
          <w:sz w:val="21"/>
        </w:rPr>
        <w:t>Ethics &amp; Standards Committee</w:t>
      </w:r>
      <w:r>
        <w:rPr>
          <w:rFonts w:ascii="Segoe UI" w:hAnsi="Segoe UI"/>
          <w:b w:val="0"/>
          <w:i w:val="0"/>
          <w:color w:val="1E293B"/>
          <w:sz w:val="21"/>
        </w:rPr>
        <w:t>: Investigates alleged conflicts of interest and oversees enforcement of executive conduct codes.</w:t>
      </w:r>
    </w:p>
    <w:p>
      <w:pPr>
        <w:pStyle w:val="ListBullet"/>
        <w:spacing w:before="20" w:after="60" w:line="276" w:lineRule="auto"/>
      </w:pPr>
      <w:r>
        <w:rPr>
          <w:rFonts w:ascii="Segoe UI" w:hAnsi="Segoe UI"/>
          <w:b/>
          <w:i w:val="0"/>
          <w:color w:val="1E293B"/>
          <w:sz w:val="21"/>
        </w:rPr>
        <w:t>Executive Committee</w:t>
      </w:r>
      <w:r>
        <w:rPr>
          <w:rFonts w:ascii="Segoe UI" w:hAnsi="Segoe UI"/>
          <w:b w:val="0"/>
          <w:i w:val="0"/>
          <w:color w:val="1E293B"/>
          <w:sz w:val="21"/>
        </w:rPr>
        <w:t>: Exercises delegated board powers between quarterly plenary meetings for time-sensitive operational authorizations.</w:t>
      </w:r>
    </w:p>
    <w:p>
      <w:pPr>
        <w:keepNext/>
        <w:spacing w:before="360" w:after="120"/>
      </w:pPr>
      <w:r>
        <w:rPr>
          <w:rFonts w:ascii="Segoe UI" w:hAnsi="Segoe UI"/>
          <w:b/>
          <w:color w:val="1E3A8A"/>
          <w:sz w:val="30"/>
        </w:rPr>
        <w:t>5. Hub Duties &amp; Branch Operations</w:t>
      </w:r>
    </w:p>
    <w:p>
      <w:pPr>
        <w:spacing w:before="40" w:after="120" w:line="276" w:lineRule="auto"/>
      </w:pPr>
      <w:r>
        <w:rPr>
          <w:rFonts w:ascii="Segoe UI" w:hAnsi="Segoe UI"/>
          <w:b w:val="0"/>
          <w:i w:val="0"/>
          <w:color w:val="1E293B"/>
          <w:sz w:val="21"/>
        </w:rPr>
        <w:t>Where the corporation conducts decentralized regional operations, bylaws establish governance standards for regional hubs and business units: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20"/>
            <w:shd w:fill="1E3A8A"/>
            <w:tcMar>
              <w:top w:w="120" w:type="dxa"/>
              <w:bottom w:w="120" w:type="dxa"/>
              <w:left w:w="140" w:type="dxa"/>
              <w:right w:w="140" w:type="dxa"/>
            </w:tcMar>
          </w:tcPr>
          <w:p>
            <w:pPr>
              <w:spacing w:before="0" w:after="0"/>
            </w:pPr>
            <w:r>
              <w:rPr>
                <w:rFonts w:ascii="Segoe UI" w:hAnsi="Segoe UI"/>
                <w:b/>
                <w:color w:val="FFFFFF"/>
                <w:sz w:val="20"/>
              </w:rPr>
              <w:t>Operational Area</w:t>
            </w:r>
          </w:p>
        </w:tc>
        <w:tc>
          <w:tcPr>
            <w:tcW w:type="dxa" w:w="3120"/>
            <w:shd w:fill="1E3A8A"/>
            <w:tcMar>
              <w:top w:w="120" w:type="dxa"/>
              <w:bottom w:w="120" w:type="dxa"/>
              <w:left w:w="140" w:type="dxa"/>
              <w:right w:w="140" w:type="dxa"/>
            </w:tcMar>
          </w:tcPr>
          <w:p>
            <w:pPr>
              <w:spacing w:before="0" w:after="0"/>
            </w:pPr>
            <w:r>
              <w:rPr>
                <w:rFonts w:ascii="Segoe UI" w:hAnsi="Segoe UI"/>
                <w:b/>
                <w:color w:val="FFFFFF"/>
                <w:sz w:val="20"/>
              </w:rPr>
              <w:t>Hub Responsibility</w:t>
            </w:r>
          </w:p>
        </w:tc>
        <w:tc>
          <w:tcPr>
            <w:tcW w:type="dxa" w:w="3120"/>
            <w:shd w:fill="1E3A8A"/>
            <w:tcMar>
              <w:top w:w="120" w:type="dxa"/>
              <w:bottom w:w="120" w:type="dxa"/>
              <w:left w:w="140" w:type="dxa"/>
              <w:right w:w="140" w:type="dxa"/>
            </w:tcMar>
          </w:tcPr>
          <w:p>
            <w:pPr>
              <w:spacing w:before="0" w:after="0"/>
            </w:pPr>
            <w:r>
              <w:rPr>
                <w:rFonts w:ascii="Segoe UI" w:hAnsi="Segoe UI"/>
                <w:b/>
                <w:color w:val="FFFFFF"/>
                <w:sz w:val="20"/>
              </w:rPr>
              <w:t>Reporting Mandate</w:t>
            </w:r>
          </w:p>
        </w:tc>
      </w:tr>
      <w:tr>
        <w:tc>
          <w:tcPr>
            <w:tcW w:type="dxa" w:w="3120"/>
            <w:shd w:fill="F8FAFC"/>
            <w:tcMar>
              <w:top w:w="90" w:type="dxa"/>
              <w:bottom w:w="90" w:type="dxa"/>
              <w:left w:w="140" w:type="dxa"/>
              <w:right w:w="140" w:type="dxa"/>
            </w:tcMar>
          </w:tcPr>
          <w:p>
            <w:pPr>
              <w:spacing w:before="0" w:after="0"/>
            </w:pPr>
            <w:r>
              <w:rPr>
                <w:rFonts w:ascii="Segoe UI" w:hAnsi="Segoe UI"/>
                <w:b w:val="0"/>
                <w:i w:val="0"/>
                <w:color w:val="1E293B"/>
                <w:sz w:val="19"/>
              </w:rPr>
              <w:t>Regional Compliance</w:t>
            </w:r>
          </w:p>
        </w:tc>
        <w:tc>
          <w:tcPr>
            <w:tcW w:type="dxa" w:w="3120"/>
            <w:shd w:fill="F8FAFC"/>
            <w:tcMar>
              <w:top w:w="90" w:type="dxa"/>
              <w:bottom w:w="90" w:type="dxa"/>
              <w:left w:w="140" w:type="dxa"/>
              <w:right w:w="140" w:type="dxa"/>
            </w:tcMar>
          </w:tcPr>
          <w:p>
            <w:pPr>
              <w:spacing w:before="0" w:after="0"/>
            </w:pPr>
            <w:r>
              <w:rPr>
                <w:rFonts w:ascii="Segoe UI" w:hAnsi="Segoe UI"/>
                <w:b w:val="0"/>
                <w:i w:val="0"/>
                <w:color w:val="1E293B"/>
                <w:sz w:val="19"/>
              </w:rPr>
              <w:t>Maintain local regulatory filings and branch registries</w:t>
            </w:r>
          </w:p>
        </w:tc>
        <w:tc>
          <w:tcPr>
            <w:tcW w:type="dxa" w:w="3120"/>
            <w:shd w:fill="F8FAFC"/>
            <w:tcMar>
              <w:top w:w="90" w:type="dxa"/>
              <w:bottom w:w="90" w:type="dxa"/>
              <w:left w:w="140" w:type="dxa"/>
              <w:right w:w="140" w:type="dxa"/>
            </w:tcMar>
          </w:tcPr>
          <w:p>
            <w:pPr>
              <w:spacing w:before="0" w:after="0"/>
            </w:pPr>
            <w:r>
              <w:rPr>
                <w:rFonts w:ascii="Segoe UI" w:hAnsi="Segoe UI"/>
                <w:b w:val="0"/>
                <w:i w:val="0"/>
                <w:color w:val="1E293B"/>
                <w:sz w:val="19"/>
              </w:rPr>
              <w:t>Annual statutory affidavit</w:t>
            </w:r>
          </w:p>
        </w:tc>
      </w:tr>
      <w:tr>
        <w:tc>
          <w:tcPr>
            <w:tcW w:type="dxa" w:w="3120"/>
            <w:shd w:fill="FFFFFF"/>
            <w:tcMar>
              <w:top w:w="90" w:type="dxa"/>
              <w:bottom w:w="90" w:type="dxa"/>
              <w:left w:w="140" w:type="dxa"/>
              <w:right w:w="140" w:type="dxa"/>
            </w:tcMar>
          </w:tcPr>
          <w:p>
            <w:pPr>
              <w:spacing w:before="0" w:after="0"/>
            </w:pPr>
            <w:r>
              <w:rPr>
                <w:rFonts w:ascii="Segoe UI" w:hAnsi="Segoe UI"/>
                <w:b w:val="0"/>
                <w:i w:val="0"/>
                <w:color w:val="1E293B"/>
                <w:sz w:val="19"/>
              </w:rPr>
              <w:t>Financial Accountability</w:t>
            </w:r>
          </w:p>
        </w:tc>
        <w:tc>
          <w:tcPr>
            <w:tcW w:type="dxa" w:w="3120"/>
            <w:shd w:fill="FFFFFF"/>
            <w:tcMar>
              <w:top w:w="90" w:type="dxa"/>
              <w:bottom w:w="90" w:type="dxa"/>
              <w:left w:w="140" w:type="dxa"/>
              <w:right w:w="140" w:type="dxa"/>
            </w:tcMar>
          </w:tcPr>
          <w:p>
            <w:pPr>
              <w:spacing w:before="0" w:after="0"/>
            </w:pPr>
            <w:r>
              <w:rPr>
                <w:rFonts w:ascii="Segoe UI" w:hAnsi="Segoe UI"/>
                <w:b w:val="0"/>
                <w:i w:val="0"/>
                <w:color w:val="1E293B"/>
                <w:sz w:val="19"/>
              </w:rPr>
              <w:t>Deposit revenues into authorized corporate accounts</w:t>
            </w:r>
          </w:p>
        </w:tc>
        <w:tc>
          <w:tcPr>
            <w:tcW w:type="dxa" w:w="3120"/>
            <w:shd w:fill="FFFFFF"/>
            <w:tcMar>
              <w:top w:w="90" w:type="dxa"/>
              <w:bottom w:w="90" w:type="dxa"/>
              <w:left w:w="140" w:type="dxa"/>
              <w:right w:w="140" w:type="dxa"/>
            </w:tcMar>
          </w:tcPr>
          <w:p>
            <w:pPr>
              <w:spacing w:before="0" w:after="0"/>
            </w:pPr>
            <w:r>
              <w:rPr>
                <w:rFonts w:ascii="Segoe UI" w:hAnsi="Segoe UI"/>
                <w:b w:val="0"/>
                <w:i w:val="0"/>
                <w:color w:val="1E293B"/>
                <w:sz w:val="19"/>
              </w:rPr>
              <w:t>Monthly ledger reconciliation</w:t>
            </w:r>
          </w:p>
        </w:tc>
      </w:tr>
      <w:tr>
        <w:tc>
          <w:tcPr>
            <w:tcW w:type="dxa" w:w="3120"/>
            <w:shd w:fill="F8FAFC"/>
            <w:tcMar>
              <w:top w:w="90" w:type="dxa"/>
              <w:bottom w:w="90" w:type="dxa"/>
              <w:left w:w="140" w:type="dxa"/>
              <w:right w:w="140" w:type="dxa"/>
            </w:tcMar>
          </w:tcPr>
          <w:p>
            <w:pPr>
              <w:spacing w:before="0" w:after="0"/>
            </w:pPr>
            <w:r>
              <w:rPr>
                <w:rFonts w:ascii="Segoe UI" w:hAnsi="Segoe UI"/>
                <w:b w:val="0"/>
                <w:i w:val="0"/>
                <w:color w:val="1E293B"/>
                <w:sz w:val="19"/>
              </w:rPr>
              <w:t>Meeting Protocols</w:t>
            </w:r>
          </w:p>
        </w:tc>
        <w:tc>
          <w:tcPr>
            <w:tcW w:type="dxa" w:w="3120"/>
            <w:shd w:fill="F8FAFC"/>
            <w:tcMar>
              <w:top w:w="90" w:type="dxa"/>
              <w:bottom w:w="90" w:type="dxa"/>
              <w:left w:w="140" w:type="dxa"/>
              <w:right w:w="140" w:type="dxa"/>
            </w:tcMar>
          </w:tcPr>
          <w:p>
            <w:pPr>
              <w:spacing w:before="0" w:after="0"/>
            </w:pPr>
            <w:r>
              <w:rPr>
                <w:rFonts w:ascii="Segoe UI" w:hAnsi="Segoe UI"/>
                <w:b w:val="0"/>
                <w:i w:val="0"/>
                <w:color w:val="1E293B"/>
                <w:sz w:val="19"/>
              </w:rPr>
              <w:t>Conduct regular regional assemblies following parliamentary order</w:t>
            </w:r>
          </w:p>
        </w:tc>
        <w:tc>
          <w:tcPr>
            <w:tcW w:type="dxa" w:w="3120"/>
            <w:shd w:fill="F8FAFC"/>
            <w:tcMar>
              <w:top w:w="90" w:type="dxa"/>
              <w:bottom w:w="90" w:type="dxa"/>
              <w:left w:w="140" w:type="dxa"/>
              <w:right w:w="140" w:type="dxa"/>
            </w:tcMar>
          </w:tcPr>
          <w:p>
            <w:pPr>
              <w:spacing w:before="0" w:after="0"/>
            </w:pPr>
            <w:r>
              <w:rPr>
                <w:rFonts w:ascii="Segoe UI" w:hAnsi="Segoe UI"/>
                <w:b w:val="0"/>
                <w:i w:val="0"/>
                <w:color w:val="1E293B"/>
                <w:sz w:val="19"/>
              </w:rPr>
              <w:t>Minutes submitted within 14 days</w:t>
            </w:r>
          </w:p>
        </w:tc>
      </w:tr>
    </w:tbl>
    <w:p>
      <w:pPr>
        <w:spacing w:after="160"/>
      </w:pPr>
    </w:p>
    <w:p>
      <w:pPr>
        <w:keepNext/>
        <w:spacing w:before="360" w:after="120"/>
      </w:pPr>
      <w:r>
        <w:rPr>
          <w:rFonts w:ascii="Segoe UI" w:hAnsi="Segoe UI"/>
          <w:b/>
          <w:color w:val="1E3A8A"/>
          <w:sz w:val="30"/>
        </w:rPr>
        <w:t>6. Amendment Procedures &amp; Corporate Dissolution</w:t>
      </w:r>
    </w:p>
    <w:p>
      <w:pPr>
        <w:spacing w:before="40" w:after="120" w:line="276" w:lineRule="auto"/>
      </w:pPr>
      <w:r>
        <w:rPr>
          <w:rFonts w:ascii="Segoe UI" w:hAnsi="Segoe UI"/>
          <w:b w:val="0"/>
          <w:i w:val="0"/>
          <w:color w:val="1E293B"/>
          <w:sz w:val="21"/>
        </w:rPr>
        <w:t>Bylaws may only be altered, amended, or repealed through rigorous democratic procedure:</w:t>
      </w:r>
    </w:p>
    <w:p>
      <w:pPr>
        <w:pStyle w:val="ListNumber"/>
        <w:spacing w:before="20" w:after="60" w:line="276" w:lineRule="auto"/>
      </w:pPr>
      <w:r>
        <w:rPr>
          <w:rFonts w:ascii="Segoe UI" w:hAnsi="Segoe UI"/>
          <w:b w:val="0"/>
          <w:i w:val="0"/>
          <w:color w:val="1E293B"/>
          <w:sz w:val="21"/>
        </w:rPr>
        <w:t>Proposed amendments must be submitted in writing to the Policy &amp; Bylaws Committee at least 30 days prior to voting.</w:t>
      </w:r>
    </w:p>
    <w:p>
      <w:pPr>
        <w:pStyle w:val="ListNumber"/>
        <w:spacing w:before="20" w:after="60" w:line="276" w:lineRule="auto"/>
      </w:pPr>
      <w:r>
        <w:rPr>
          <w:rFonts w:ascii="Segoe UI" w:hAnsi="Segoe UI"/>
          <w:b w:val="0"/>
          <w:i w:val="0"/>
          <w:color w:val="1E293B"/>
          <w:sz w:val="21"/>
        </w:rPr>
        <w:t>A two-thirds (66.7%) supermajority vote of the Board of Directors is required for ratification.</w:t>
      </w:r>
    </w:p>
    <w:p>
      <w:pPr>
        <w:pStyle w:val="ListNumber"/>
        <w:spacing w:before="20" w:after="60" w:line="276" w:lineRule="auto"/>
      </w:pPr>
      <w:r>
        <w:rPr>
          <w:rFonts w:ascii="Segoe UI" w:hAnsi="Segoe UI"/>
          <w:b w:val="0"/>
          <w:i w:val="0"/>
          <w:color w:val="1E293B"/>
          <w:sz w:val="21"/>
        </w:rPr>
        <w:t>In the event of corporate dissolution, all remaining assets following settlement of liabilities must be distributed to designated statutory successors or recognized public-benefit entities in strict compliance with corporate law.</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i/>
        <w:color w:val="94A3B8"/>
        <w:sz w:val="17"/>
      </w:rPr>
      <w:t>Bastion Sovereign AI Workbench · Sovereign Internal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