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01311" w14:textId="1527BEAB" w:rsidR="00826734" w:rsidRDefault="00012440">
      <w:r>
        <w:fldChar w:fldCharType="begin"/>
      </w:r>
      <w:r>
        <w:instrText>HYPERLINK "</w:instrText>
      </w:r>
      <w:r w:rsidRPr="00012440">
        <w:instrText>https://tpchd.org/healthy-places/food-safety/existing-food-businesses/new-code-changes/</w:instrText>
      </w:r>
      <w:r>
        <w:instrText>"</w:instrText>
      </w:r>
      <w:r>
        <w:fldChar w:fldCharType="separate"/>
      </w:r>
      <w:r w:rsidRPr="00A93825">
        <w:rPr>
          <w:rStyle w:val="Hyperlink"/>
        </w:rPr>
        <w:t>https://tpchd.org/healthy-places/food-safety/existing-food-businesses/new-code-changes/</w:t>
      </w:r>
      <w:r>
        <w:fldChar w:fldCharType="end"/>
      </w:r>
    </w:p>
    <w:p w14:paraId="7EE356B1" w14:textId="77777777" w:rsidR="00012440" w:rsidRPr="00012440" w:rsidRDefault="00012440" w:rsidP="00012440">
      <w:hyperlink r:id="rId5" w:history="1">
        <w:r w:rsidRPr="00012440">
          <w:rPr>
            <w:rStyle w:val="Hyperlink"/>
          </w:rPr>
          <w:t>Home</w:t>
        </w:r>
      </w:hyperlink>
      <w:r w:rsidRPr="00012440">
        <w:t> » </w:t>
      </w:r>
      <w:hyperlink r:id="rId6" w:history="1">
        <w:r w:rsidRPr="00012440">
          <w:rPr>
            <w:rStyle w:val="Hyperlink"/>
          </w:rPr>
          <w:t>Healthy Places</w:t>
        </w:r>
      </w:hyperlink>
      <w:r w:rsidRPr="00012440">
        <w:t> » </w:t>
      </w:r>
      <w:hyperlink r:id="rId7" w:history="1">
        <w:r w:rsidRPr="00012440">
          <w:rPr>
            <w:rStyle w:val="Hyperlink"/>
          </w:rPr>
          <w:t>Food Safety</w:t>
        </w:r>
      </w:hyperlink>
      <w:r w:rsidRPr="00012440">
        <w:t> » </w:t>
      </w:r>
      <w:hyperlink r:id="rId8" w:history="1">
        <w:r w:rsidRPr="00012440">
          <w:rPr>
            <w:rStyle w:val="Hyperlink"/>
          </w:rPr>
          <w:t>Existing Food Businesses</w:t>
        </w:r>
      </w:hyperlink>
      <w:r w:rsidRPr="00012440">
        <w:t> » </w:t>
      </w:r>
      <w:r w:rsidRPr="00012440">
        <w:rPr>
          <w:b/>
          <w:bCs/>
        </w:rPr>
        <w:t>New Code Changes</w:t>
      </w:r>
    </w:p>
    <w:p w14:paraId="7281B78A" w14:textId="77777777" w:rsidR="00012440" w:rsidRPr="00012440" w:rsidRDefault="00012440" w:rsidP="00012440">
      <w:pPr>
        <w:rPr>
          <w:b/>
          <w:bCs/>
          <w:sz w:val="52"/>
          <w:szCs w:val="52"/>
        </w:rPr>
      </w:pPr>
      <w:r w:rsidRPr="00012440">
        <w:rPr>
          <w:b/>
          <w:bCs/>
          <w:sz w:val="52"/>
          <w:szCs w:val="52"/>
        </w:rPr>
        <w:t>New Code Changes</w:t>
      </w:r>
    </w:p>
    <w:p w14:paraId="756B110E" w14:textId="77777777" w:rsidR="00012440" w:rsidRPr="00012440" w:rsidRDefault="00012440" w:rsidP="00012440">
      <w:pPr>
        <w:rPr>
          <w:b/>
          <w:bCs/>
          <w:sz w:val="36"/>
          <w:szCs w:val="36"/>
        </w:rPr>
      </w:pPr>
      <w:hyperlink r:id="rId9" w:tgtFrame="_blank" w:history="1">
        <w:r w:rsidRPr="00012440">
          <w:rPr>
            <w:rStyle w:val="Hyperlink"/>
            <w:b/>
            <w:bCs/>
            <w:sz w:val="36"/>
            <w:szCs w:val="36"/>
          </w:rPr>
          <w:t>Washington updated its Food Code</w:t>
        </w:r>
      </w:hyperlink>
      <w:r w:rsidRPr="00012440">
        <w:rPr>
          <w:b/>
          <w:bCs/>
          <w:sz w:val="36"/>
          <w:szCs w:val="36"/>
        </w:rPr>
        <w:t> on March 1, 2022.</w:t>
      </w:r>
    </w:p>
    <w:p w14:paraId="277A43E4" w14:textId="77777777" w:rsidR="00012440" w:rsidRPr="00012440" w:rsidRDefault="00012440" w:rsidP="00012440">
      <w:r w:rsidRPr="00012440">
        <w:t>Revisions include changes from:</w:t>
      </w:r>
    </w:p>
    <w:p w14:paraId="188B5AC5" w14:textId="77777777" w:rsidR="00012440" w:rsidRPr="00012440" w:rsidRDefault="00012440" w:rsidP="00012440">
      <w:pPr>
        <w:numPr>
          <w:ilvl w:val="0"/>
          <w:numId w:val="1"/>
        </w:numPr>
      </w:pPr>
      <w:hyperlink r:id="rId10" w:tgtFrame="_blank" w:history="1">
        <w:r w:rsidRPr="00012440">
          <w:rPr>
            <w:rStyle w:val="Hyperlink"/>
          </w:rPr>
          <w:t>2017 U.S. Food and Drug Administration Food Code</w:t>
        </w:r>
      </w:hyperlink>
      <w:r w:rsidRPr="00012440">
        <w:t>.</w:t>
      </w:r>
    </w:p>
    <w:p w14:paraId="35260259" w14:textId="77777777" w:rsidR="00012440" w:rsidRPr="00012440" w:rsidRDefault="00012440" w:rsidP="00012440">
      <w:pPr>
        <w:numPr>
          <w:ilvl w:val="0"/>
          <w:numId w:val="1"/>
        </w:numPr>
      </w:pPr>
      <w:r w:rsidRPr="00012440">
        <w:t>Washington stakeholders.</w:t>
      </w:r>
    </w:p>
    <w:p w14:paraId="0E34CE73" w14:textId="77777777" w:rsidR="00012440" w:rsidRPr="00012440" w:rsidRDefault="00012440" w:rsidP="00012440">
      <w:pPr>
        <w:rPr>
          <w:b/>
          <w:bCs/>
        </w:rPr>
      </w:pPr>
      <w:r w:rsidRPr="00012440">
        <w:rPr>
          <w:b/>
          <w:bCs/>
        </w:rPr>
        <w:t>You have more time to learn the new code.</w:t>
      </w:r>
    </w:p>
    <w:p w14:paraId="1AE0DB82" w14:textId="77777777" w:rsidR="00012440" w:rsidRPr="00012440" w:rsidRDefault="00012440" w:rsidP="00012440">
      <w:r w:rsidRPr="00012440">
        <w:rPr>
          <w:b/>
          <w:bCs/>
        </w:rPr>
        <w:t>Sept. 1–Dec. 31.</w:t>
      </w:r>
      <w:r w:rsidRPr="00012440">
        <w:t xml:space="preserve"> We have extended the education period for Date Marking and the Vomit and </w:t>
      </w:r>
      <w:proofErr w:type="spellStart"/>
      <w:r w:rsidRPr="00012440">
        <w:t>Diarrhea</w:t>
      </w:r>
      <w:proofErr w:type="spellEnd"/>
      <w:r w:rsidRPr="00012440">
        <w:t xml:space="preserve"> Clean-up Plan to help you adjust to the changes and provide additional tools. During this time, we will help you correct any food safety risks. We will not cite these 2 new violations and there will be no points for these 2 new violations until Jan. 1, 2023.</w:t>
      </w:r>
    </w:p>
    <w:p w14:paraId="3F51D9E0" w14:textId="77777777" w:rsidR="00012440" w:rsidRPr="00012440" w:rsidRDefault="00012440" w:rsidP="00012440">
      <w:pPr>
        <w:rPr>
          <w:b/>
          <w:bCs/>
        </w:rPr>
      </w:pPr>
      <w:r w:rsidRPr="00012440">
        <w:rPr>
          <w:b/>
          <w:bCs/>
        </w:rPr>
        <w:t>All other new code items are now in effect as of Sept. 1, 2022.</w:t>
      </w:r>
    </w:p>
    <w:p w14:paraId="42204370" w14:textId="77777777" w:rsidR="00012440" w:rsidRPr="00012440" w:rsidRDefault="00012440" w:rsidP="00012440">
      <w:pPr>
        <w:rPr>
          <w:b/>
          <w:bCs/>
          <w:sz w:val="36"/>
          <w:szCs w:val="36"/>
        </w:rPr>
      </w:pPr>
      <w:r w:rsidRPr="00012440">
        <w:rPr>
          <w:b/>
          <w:bCs/>
          <w:sz w:val="36"/>
          <w:szCs w:val="36"/>
        </w:rPr>
        <w:t>New rules and updates.</w:t>
      </w:r>
    </w:p>
    <w:p w14:paraId="6AC7EA17" w14:textId="77777777" w:rsidR="00012440" w:rsidRPr="00012440" w:rsidRDefault="00012440" w:rsidP="00012440">
      <w:pPr>
        <w:rPr>
          <w:b/>
          <w:bCs/>
        </w:rPr>
      </w:pPr>
      <w:r w:rsidRPr="00012440">
        <w:rPr>
          <w:b/>
          <w:bCs/>
        </w:rPr>
        <w:t>Update—New Name: </w:t>
      </w:r>
      <w:hyperlink r:id="rId11" w:tgtFrame="_blank" w:history="1">
        <w:r w:rsidRPr="00012440">
          <w:rPr>
            <w:rStyle w:val="Hyperlink"/>
            <w:b/>
            <w:bCs/>
          </w:rPr>
          <w:t>Time/Temperature Control for Safety (TCS) Food</w:t>
        </w:r>
      </w:hyperlink>
    </w:p>
    <w:p w14:paraId="126C5C5C" w14:textId="77777777" w:rsidR="00012440" w:rsidRPr="00012440" w:rsidRDefault="00012440" w:rsidP="00012440">
      <w:r w:rsidRPr="00012440">
        <w:t>Potentially Hazardous Foods (PHF) is now Time/Temperature Control for Safety (TCS) food. There is no change to the types of foods you need to keep hot or cold for safety:</w:t>
      </w:r>
    </w:p>
    <w:p w14:paraId="621FED64" w14:textId="77777777" w:rsidR="00012440" w:rsidRPr="00012440" w:rsidRDefault="00012440" w:rsidP="00012440">
      <w:pPr>
        <w:numPr>
          <w:ilvl w:val="0"/>
          <w:numId w:val="2"/>
        </w:numPr>
      </w:pPr>
      <w:r w:rsidRPr="00012440">
        <w:t>Meat.</w:t>
      </w:r>
    </w:p>
    <w:p w14:paraId="7DE30977" w14:textId="77777777" w:rsidR="00012440" w:rsidRPr="00012440" w:rsidRDefault="00012440" w:rsidP="00012440">
      <w:pPr>
        <w:numPr>
          <w:ilvl w:val="0"/>
          <w:numId w:val="2"/>
        </w:numPr>
      </w:pPr>
      <w:r w:rsidRPr="00012440">
        <w:t>Poultry.</w:t>
      </w:r>
    </w:p>
    <w:p w14:paraId="09EF08E7" w14:textId="77777777" w:rsidR="00012440" w:rsidRPr="00012440" w:rsidRDefault="00012440" w:rsidP="00012440">
      <w:pPr>
        <w:numPr>
          <w:ilvl w:val="0"/>
          <w:numId w:val="2"/>
        </w:numPr>
      </w:pPr>
      <w:r w:rsidRPr="00012440">
        <w:t>Cooked starches.</w:t>
      </w:r>
    </w:p>
    <w:p w14:paraId="32354456" w14:textId="77777777" w:rsidR="00012440" w:rsidRPr="00012440" w:rsidRDefault="00012440" w:rsidP="00012440">
      <w:pPr>
        <w:numPr>
          <w:ilvl w:val="0"/>
          <w:numId w:val="2"/>
        </w:numPr>
      </w:pPr>
      <w:r w:rsidRPr="00012440">
        <w:t>Sliced melons.</w:t>
      </w:r>
    </w:p>
    <w:p w14:paraId="408B567B" w14:textId="77777777" w:rsidR="00012440" w:rsidRPr="00012440" w:rsidRDefault="00012440" w:rsidP="00012440">
      <w:pPr>
        <w:numPr>
          <w:ilvl w:val="0"/>
          <w:numId w:val="2"/>
        </w:numPr>
      </w:pPr>
      <w:r w:rsidRPr="00012440">
        <w:t>Sprouts.</w:t>
      </w:r>
    </w:p>
    <w:p w14:paraId="3C819236" w14:textId="77777777" w:rsidR="00012440" w:rsidRPr="00012440" w:rsidRDefault="00012440" w:rsidP="00012440">
      <w:pPr>
        <w:numPr>
          <w:ilvl w:val="0"/>
          <w:numId w:val="2"/>
        </w:numPr>
      </w:pPr>
      <w:r w:rsidRPr="00012440">
        <w:t>Dairy products.</w:t>
      </w:r>
    </w:p>
    <w:p w14:paraId="51D3002D" w14:textId="77777777" w:rsidR="00012440" w:rsidRPr="00012440" w:rsidRDefault="00012440" w:rsidP="00012440">
      <w:pPr>
        <w:numPr>
          <w:ilvl w:val="0"/>
          <w:numId w:val="2"/>
        </w:numPr>
      </w:pPr>
      <w:r w:rsidRPr="00012440">
        <w:t>Cut leafy greens.</w:t>
      </w:r>
    </w:p>
    <w:p w14:paraId="26BAA108" w14:textId="77777777" w:rsidR="00012440" w:rsidRPr="00012440" w:rsidRDefault="00012440" w:rsidP="00012440">
      <w:pPr>
        <w:numPr>
          <w:ilvl w:val="0"/>
          <w:numId w:val="2"/>
        </w:numPr>
      </w:pPr>
      <w:r w:rsidRPr="00012440">
        <w:t>Cut tomatoes.</w:t>
      </w:r>
    </w:p>
    <w:p w14:paraId="60C06BD9" w14:textId="77777777" w:rsidR="00012440" w:rsidRPr="00012440" w:rsidRDefault="00012440" w:rsidP="00012440">
      <w:pPr>
        <w:numPr>
          <w:ilvl w:val="0"/>
          <w:numId w:val="2"/>
        </w:numPr>
      </w:pPr>
      <w:r w:rsidRPr="00012440">
        <w:t>Fresh herb and garlic in oil.</w:t>
      </w:r>
    </w:p>
    <w:p w14:paraId="50F649A9" w14:textId="77777777" w:rsidR="00012440" w:rsidRPr="00012440" w:rsidRDefault="00012440" w:rsidP="00012440">
      <w:pPr>
        <w:numPr>
          <w:ilvl w:val="0"/>
          <w:numId w:val="2"/>
        </w:numPr>
      </w:pPr>
      <w:r w:rsidRPr="00012440">
        <w:t>Cooked produce.</w:t>
      </w:r>
    </w:p>
    <w:p w14:paraId="1374AC78" w14:textId="77777777" w:rsidR="00012440" w:rsidRPr="00012440" w:rsidRDefault="00012440" w:rsidP="00012440">
      <w:pPr>
        <w:rPr>
          <w:b/>
          <w:bCs/>
        </w:rPr>
      </w:pPr>
      <w:r w:rsidRPr="00012440">
        <w:rPr>
          <w:b/>
          <w:bCs/>
        </w:rPr>
        <w:t>New—</w:t>
      </w:r>
      <w:hyperlink r:id="rId12" w:tgtFrame="_blank" w:history="1">
        <w:r w:rsidRPr="00012440">
          <w:rPr>
            <w:rStyle w:val="Hyperlink"/>
            <w:b/>
            <w:bCs/>
          </w:rPr>
          <w:t>Active Managerial Control</w:t>
        </w:r>
      </w:hyperlink>
    </w:p>
    <w:p w14:paraId="7E09236C" w14:textId="77777777" w:rsidR="00012440" w:rsidRPr="00012440" w:rsidRDefault="00012440" w:rsidP="00012440">
      <w:r w:rsidRPr="00012440">
        <w:t>Active Managerial Control helps correct and prevent food safety issues before an inspection. Managers create procedures, train employees, and monitor to keep food safe. The Person in Charge (PIC) ensures food workers follow food safety practices like:</w:t>
      </w:r>
    </w:p>
    <w:p w14:paraId="3FA0F067" w14:textId="77777777" w:rsidR="00012440" w:rsidRPr="00012440" w:rsidRDefault="00012440" w:rsidP="00012440">
      <w:pPr>
        <w:numPr>
          <w:ilvl w:val="0"/>
          <w:numId w:val="3"/>
        </w:numPr>
      </w:pPr>
      <w:r w:rsidRPr="00012440">
        <w:lastRenderedPageBreak/>
        <w:t>Check food temperatures with a thermometer.</w:t>
      </w:r>
    </w:p>
    <w:p w14:paraId="1C337729" w14:textId="77777777" w:rsidR="00012440" w:rsidRPr="00012440" w:rsidRDefault="00012440" w:rsidP="00012440">
      <w:pPr>
        <w:numPr>
          <w:ilvl w:val="0"/>
          <w:numId w:val="3"/>
        </w:numPr>
      </w:pPr>
      <w:r w:rsidRPr="00012440">
        <w:t>Properly wash hands when required.</w:t>
      </w:r>
    </w:p>
    <w:p w14:paraId="7D6F2E44" w14:textId="77777777" w:rsidR="00012440" w:rsidRPr="00012440" w:rsidRDefault="00012440" w:rsidP="00012440">
      <w:pPr>
        <w:numPr>
          <w:ilvl w:val="0"/>
          <w:numId w:val="3"/>
        </w:numPr>
      </w:pPr>
      <w:r w:rsidRPr="00012440">
        <w:t>Use tongs or other barriers when preparing ready-to-eat foods.</w:t>
      </w:r>
    </w:p>
    <w:p w14:paraId="2D4EE6C2" w14:textId="77777777" w:rsidR="00012440" w:rsidRPr="00012440" w:rsidRDefault="00012440" w:rsidP="00012440">
      <w:pPr>
        <w:numPr>
          <w:ilvl w:val="0"/>
          <w:numId w:val="3"/>
        </w:numPr>
      </w:pPr>
      <w:r w:rsidRPr="00012440">
        <w:t>Cook meats to proper temperatures.</w:t>
      </w:r>
    </w:p>
    <w:p w14:paraId="46F76449" w14:textId="77777777" w:rsidR="00012440" w:rsidRPr="00012440" w:rsidRDefault="00012440" w:rsidP="00012440">
      <w:pPr>
        <w:numPr>
          <w:ilvl w:val="0"/>
          <w:numId w:val="3"/>
        </w:numPr>
      </w:pPr>
      <w:r w:rsidRPr="00012440">
        <w:t xml:space="preserve">Wash </w:t>
      </w:r>
      <w:proofErr w:type="gramStart"/>
      <w:r w:rsidRPr="00012440">
        <w:t>produce</w:t>
      </w:r>
      <w:proofErr w:type="gramEnd"/>
      <w:r w:rsidRPr="00012440">
        <w:t xml:space="preserve"> before cutting.</w:t>
      </w:r>
    </w:p>
    <w:p w14:paraId="1BCF2D1F" w14:textId="77777777" w:rsidR="00012440" w:rsidRPr="00012440" w:rsidRDefault="00012440" w:rsidP="00012440">
      <w:pPr>
        <w:numPr>
          <w:ilvl w:val="0"/>
          <w:numId w:val="3"/>
        </w:numPr>
      </w:pPr>
      <w:r w:rsidRPr="00012440">
        <w:t>Prevent cross contamination.</w:t>
      </w:r>
    </w:p>
    <w:p w14:paraId="7602C79D" w14:textId="77777777" w:rsidR="00012440" w:rsidRPr="00012440" w:rsidRDefault="00012440" w:rsidP="00012440">
      <w:pPr>
        <w:rPr>
          <w:b/>
          <w:bCs/>
        </w:rPr>
      </w:pPr>
      <w:r w:rsidRPr="00012440">
        <w:rPr>
          <w:b/>
          <w:bCs/>
        </w:rPr>
        <w:t>New—</w:t>
      </w:r>
      <w:hyperlink r:id="rId13" w:tgtFrame="_blank" w:history="1">
        <w:r w:rsidRPr="00012440">
          <w:rPr>
            <w:rStyle w:val="Hyperlink"/>
            <w:b/>
            <w:bCs/>
          </w:rPr>
          <w:t>Date Marking</w:t>
        </w:r>
      </w:hyperlink>
    </w:p>
    <w:p w14:paraId="63B0CB91" w14:textId="77777777" w:rsidR="00012440" w:rsidRPr="00012440" w:rsidRDefault="00012440" w:rsidP="00012440">
      <w:r w:rsidRPr="00012440">
        <w:t>Ready-to-eat, refrigerated TCS food kept for more than 24 hours must be date marked and used or frozen within 7 days. Date mark food prepared in-house or after opening the commercial package. Serve, freeze or discard food within 7 days after you open it.</w:t>
      </w:r>
    </w:p>
    <w:p w14:paraId="107E6B7F" w14:textId="77777777" w:rsidR="00012440" w:rsidRPr="00012440" w:rsidRDefault="00012440" w:rsidP="00012440">
      <w:r w:rsidRPr="00012440">
        <w:t>You can date mark in many ways like written labels on the container or day dots. The system must track the expiration date of foods.</w:t>
      </w:r>
    </w:p>
    <w:p w14:paraId="5CEE973D" w14:textId="77777777" w:rsidR="00012440" w:rsidRPr="00012440" w:rsidRDefault="00012440" w:rsidP="00012440">
      <w:pPr>
        <w:numPr>
          <w:ilvl w:val="0"/>
          <w:numId w:val="4"/>
        </w:numPr>
      </w:pPr>
      <w:r w:rsidRPr="00012440">
        <w:t>Start with the day you open or prepare the food and add 6 days.</w:t>
      </w:r>
    </w:p>
    <w:p w14:paraId="482CF087" w14:textId="77777777" w:rsidR="00012440" w:rsidRPr="00012440" w:rsidRDefault="00012440" w:rsidP="00012440">
      <w:pPr>
        <w:numPr>
          <w:ilvl w:val="0"/>
          <w:numId w:val="4"/>
        </w:numPr>
      </w:pPr>
      <w:r w:rsidRPr="00012440">
        <w:t>Serve or discard food within 7 days after you open it.</w:t>
      </w:r>
    </w:p>
    <w:p w14:paraId="7F143E0F" w14:textId="77777777" w:rsidR="00012440" w:rsidRPr="00012440" w:rsidRDefault="00012440" w:rsidP="00012440">
      <w:pPr>
        <w:numPr>
          <w:ilvl w:val="0"/>
          <w:numId w:val="4"/>
        </w:numPr>
      </w:pPr>
      <w:r w:rsidRPr="00012440">
        <w:t>If you combine food with different dates, use the date mark of the oldest ingredient.</w:t>
      </w:r>
    </w:p>
    <w:p w14:paraId="469DCF8B" w14:textId="77777777" w:rsidR="00012440" w:rsidRPr="00012440" w:rsidRDefault="00012440" w:rsidP="00012440">
      <w:r w:rsidRPr="00012440">
        <w:rPr>
          <w:b/>
          <w:bCs/>
        </w:rPr>
        <w:t>Helpful tools: </w:t>
      </w:r>
      <w:hyperlink r:id="rId14" w:tgtFrame="_blank" w:history="1">
        <w:r w:rsidRPr="00012440">
          <w:rPr>
            <w:rStyle w:val="Hyperlink"/>
          </w:rPr>
          <w:t>Date marking infographic</w:t>
        </w:r>
      </w:hyperlink>
      <w:r w:rsidRPr="00012440">
        <w:t>, also available in </w:t>
      </w:r>
      <w:hyperlink r:id="rId15" w:tgtFrame="_blank" w:history="1">
        <w:r w:rsidRPr="00012440">
          <w:rPr>
            <w:rStyle w:val="Hyperlink"/>
          </w:rPr>
          <w:t>Kmher</w:t>
        </w:r>
      </w:hyperlink>
      <w:r w:rsidRPr="00012440">
        <w:t>, </w:t>
      </w:r>
      <w:hyperlink r:id="rId16" w:tgtFrame="_blank" w:history="1">
        <w:r w:rsidRPr="00012440">
          <w:rPr>
            <w:rStyle w:val="Hyperlink"/>
          </w:rPr>
          <w:t>Korean</w:t>
        </w:r>
      </w:hyperlink>
      <w:r w:rsidRPr="00012440">
        <w:t>, </w:t>
      </w:r>
      <w:hyperlink r:id="rId17" w:tgtFrame="_blank" w:history="1">
        <w:r w:rsidRPr="00012440">
          <w:rPr>
            <w:rStyle w:val="Hyperlink"/>
          </w:rPr>
          <w:t>Russian</w:t>
        </w:r>
      </w:hyperlink>
      <w:r w:rsidRPr="00012440">
        <w:t>, </w:t>
      </w:r>
      <w:hyperlink r:id="rId18" w:tgtFrame="_blank" w:history="1">
        <w:r w:rsidRPr="00012440">
          <w:rPr>
            <w:rStyle w:val="Hyperlink"/>
          </w:rPr>
          <w:t>Samoan</w:t>
        </w:r>
      </w:hyperlink>
      <w:r w:rsidRPr="00012440">
        <w:t>, </w:t>
      </w:r>
      <w:hyperlink r:id="rId19" w:tgtFrame="_blank" w:history="1">
        <w:r w:rsidRPr="00012440">
          <w:rPr>
            <w:rStyle w:val="Hyperlink"/>
          </w:rPr>
          <w:t>Spanish</w:t>
        </w:r>
      </w:hyperlink>
      <w:r w:rsidRPr="00012440">
        <w:t>, </w:t>
      </w:r>
      <w:hyperlink r:id="rId20" w:tgtFrame="_blank" w:history="1">
        <w:r w:rsidRPr="00012440">
          <w:rPr>
            <w:rStyle w:val="Hyperlink"/>
          </w:rPr>
          <w:t>Tagalog</w:t>
        </w:r>
      </w:hyperlink>
      <w:r w:rsidRPr="00012440">
        <w:t>, </w:t>
      </w:r>
      <w:hyperlink r:id="rId21" w:tgtFrame="_blank" w:history="1">
        <w:r w:rsidRPr="00012440">
          <w:rPr>
            <w:rStyle w:val="Hyperlink"/>
          </w:rPr>
          <w:t>Ukrainian</w:t>
        </w:r>
      </w:hyperlink>
      <w:r w:rsidRPr="00012440">
        <w:t> and </w:t>
      </w:r>
      <w:hyperlink r:id="rId22" w:tgtFrame="_blank" w:history="1">
        <w:r w:rsidRPr="00012440">
          <w:rPr>
            <w:rStyle w:val="Hyperlink"/>
          </w:rPr>
          <w:t>Vietnamese</w:t>
        </w:r>
      </w:hyperlink>
      <w:r w:rsidRPr="00012440">
        <w:t>.</w:t>
      </w:r>
    </w:p>
    <w:p w14:paraId="2F2FD858" w14:textId="77777777" w:rsidR="00012440" w:rsidRPr="00012440" w:rsidRDefault="00012440" w:rsidP="00012440">
      <w:pPr>
        <w:rPr>
          <w:b/>
          <w:bCs/>
        </w:rPr>
      </w:pPr>
      <w:r w:rsidRPr="00012440">
        <w:rPr>
          <w:b/>
          <w:bCs/>
        </w:rPr>
        <w:t>New—</w:t>
      </w:r>
      <w:hyperlink r:id="rId23" w:tgtFrame="_blank" w:history="1">
        <w:r w:rsidRPr="00012440">
          <w:rPr>
            <w:rStyle w:val="Hyperlink"/>
            <w:b/>
            <w:bCs/>
          </w:rPr>
          <w:t xml:space="preserve">Vomit and </w:t>
        </w:r>
        <w:proofErr w:type="spellStart"/>
        <w:r w:rsidRPr="00012440">
          <w:rPr>
            <w:rStyle w:val="Hyperlink"/>
            <w:b/>
            <w:bCs/>
          </w:rPr>
          <w:t>Diarrhea</w:t>
        </w:r>
        <w:proofErr w:type="spellEnd"/>
        <w:r w:rsidRPr="00012440">
          <w:rPr>
            <w:rStyle w:val="Hyperlink"/>
            <w:b/>
            <w:bCs/>
          </w:rPr>
          <w:t xml:space="preserve"> Clean-up Plan</w:t>
        </w:r>
      </w:hyperlink>
    </w:p>
    <w:p w14:paraId="598B816F" w14:textId="77777777" w:rsidR="00012440" w:rsidRPr="00012440" w:rsidRDefault="00012440" w:rsidP="00012440">
      <w:r w:rsidRPr="00012440">
        <w:t xml:space="preserve">You need written procedures to safely clean up any vomit and </w:t>
      </w:r>
      <w:proofErr w:type="spellStart"/>
      <w:r w:rsidRPr="00012440">
        <w:t>diarrhea</w:t>
      </w:r>
      <w:proofErr w:type="spellEnd"/>
      <w:r w:rsidRPr="00012440">
        <w:t xml:space="preserve"> spills. Food workers must know and follow these procedures to keep germs from spreading to people, equipment, or food. Your plan must include:</w:t>
      </w:r>
    </w:p>
    <w:p w14:paraId="57F15484" w14:textId="77777777" w:rsidR="00012440" w:rsidRPr="00012440" w:rsidRDefault="00012440" w:rsidP="00012440">
      <w:pPr>
        <w:numPr>
          <w:ilvl w:val="0"/>
          <w:numId w:val="5"/>
        </w:numPr>
      </w:pPr>
      <w:r w:rsidRPr="00012440">
        <w:t>Type of disinfectant to use.</w:t>
      </w:r>
    </w:p>
    <w:p w14:paraId="604439F2" w14:textId="77777777" w:rsidR="00012440" w:rsidRPr="00012440" w:rsidRDefault="00012440" w:rsidP="00012440">
      <w:pPr>
        <w:numPr>
          <w:ilvl w:val="0"/>
          <w:numId w:val="5"/>
        </w:numPr>
      </w:pPr>
      <w:r w:rsidRPr="00012440">
        <w:t>Location of the clean-up kit.</w:t>
      </w:r>
    </w:p>
    <w:p w14:paraId="346FEBA1" w14:textId="77777777" w:rsidR="00012440" w:rsidRPr="00012440" w:rsidRDefault="00012440" w:rsidP="00012440">
      <w:pPr>
        <w:numPr>
          <w:ilvl w:val="0"/>
          <w:numId w:val="5"/>
        </w:numPr>
      </w:pPr>
      <w:r w:rsidRPr="00012440">
        <w:t>How to clean the different surfaces in the facility.</w:t>
      </w:r>
    </w:p>
    <w:p w14:paraId="44AF5CD9" w14:textId="77777777" w:rsidR="00012440" w:rsidRPr="00012440" w:rsidRDefault="00012440" w:rsidP="00012440">
      <w:r w:rsidRPr="00012440">
        <w:rPr>
          <w:b/>
          <w:bCs/>
        </w:rPr>
        <w:t>Helpful tools:</w:t>
      </w:r>
      <w:r w:rsidRPr="00012440">
        <w:t> </w:t>
      </w:r>
      <w:hyperlink r:id="rId24" w:tgtFrame="_blank" w:history="1">
        <w:r w:rsidRPr="00012440">
          <w:rPr>
            <w:rStyle w:val="Hyperlink"/>
          </w:rPr>
          <w:t xml:space="preserve">Vomit and </w:t>
        </w:r>
        <w:proofErr w:type="spellStart"/>
        <w:r w:rsidRPr="00012440">
          <w:rPr>
            <w:rStyle w:val="Hyperlink"/>
          </w:rPr>
          <w:t>Diarrhea</w:t>
        </w:r>
        <w:proofErr w:type="spellEnd"/>
        <w:r w:rsidRPr="00012440">
          <w:rPr>
            <w:rStyle w:val="Hyperlink"/>
          </w:rPr>
          <w:t xml:space="preserve"> Clean-up Plan template</w:t>
        </w:r>
      </w:hyperlink>
      <w:r w:rsidRPr="00012440">
        <w:t>.</w:t>
      </w:r>
    </w:p>
    <w:p w14:paraId="1689D71D" w14:textId="77777777" w:rsidR="00012440" w:rsidRPr="00012440" w:rsidRDefault="00012440" w:rsidP="00012440">
      <w:pPr>
        <w:rPr>
          <w:b/>
          <w:bCs/>
        </w:rPr>
      </w:pPr>
      <w:r w:rsidRPr="00012440">
        <w:rPr>
          <w:b/>
          <w:bCs/>
        </w:rPr>
        <w:t>New—</w:t>
      </w:r>
      <w:hyperlink r:id="rId25" w:tgtFrame="_blank" w:history="1">
        <w:r w:rsidRPr="00012440">
          <w:rPr>
            <w:rStyle w:val="Hyperlink"/>
            <w:b/>
            <w:bCs/>
          </w:rPr>
          <w:t>Employee Health</w:t>
        </w:r>
      </w:hyperlink>
    </w:p>
    <w:p w14:paraId="410E24B0" w14:textId="77777777" w:rsidR="00012440" w:rsidRPr="00012440" w:rsidRDefault="00012440" w:rsidP="00012440">
      <w:r w:rsidRPr="00012440">
        <w:t>The PIC must train workers on when not to work if they feel sick. Workers must know to stay home and report their illness to the PIC when they have:</w:t>
      </w:r>
    </w:p>
    <w:p w14:paraId="56A253C5" w14:textId="77777777" w:rsidR="00012440" w:rsidRPr="00012440" w:rsidRDefault="00012440" w:rsidP="00012440">
      <w:pPr>
        <w:numPr>
          <w:ilvl w:val="0"/>
          <w:numId w:val="6"/>
        </w:numPr>
      </w:pPr>
      <w:proofErr w:type="spellStart"/>
      <w:r w:rsidRPr="00012440">
        <w:t>Diarrhea</w:t>
      </w:r>
      <w:proofErr w:type="spellEnd"/>
      <w:r w:rsidRPr="00012440">
        <w:t>, vomiting, or jaundice.</w:t>
      </w:r>
    </w:p>
    <w:p w14:paraId="2C74929F" w14:textId="77777777" w:rsidR="00012440" w:rsidRPr="00012440" w:rsidRDefault="00012440" w:rsidP="00012440">
      <w:pPr>
        <w:numPr>
          <w:ilvl w:val="1"/>
          <w:numId w:val="6"/>
        </w:numPr>
      </w:pPr>
      <w:r w:rsidRPr="00012440">
        <w:t xml:space="preserve">Do not work until vomiting and </w:t>
      </w:r>
      <w:proofErr w:type="spellStart"/>
      <w:r w:rsidRPr="00012440">
        <w:t>diarrhea</w:t>
      </w:r>
      <w:proofErr w:type="spellEnd"/>
      <w:r w:rsidRPr="00012440">
        <w:t xml:space="preserve"> are gone for at least 24 hours.</w:t>
      </w:r>
    </w:p>
    <w:p w14:paraId="0F29A060" w14:textId="77777777" w:rsidR="00012440" w:rsidRPr="00012440" w:rsidRDefault="00012440" w:rsidP="00012440">
      <w:pPr>
        <w:numPr>
          <w:ilvl w:val="0"/>
          <w:numId w:val="6"/>
        </w:numPr>
      </w:pPr>
      <w:r w:rsidRPr="00012440">
        <w:t>Norovirus, Salmonella, E. coli, Shigella, or hepatitis A.</w:t>
      </w:r>
    </w:p>
    <w:p w14:paraId="4AFA48B5" w14:textId="77777777" w:rsidR="00012440" w:rsidRPr="00012440" w:rsidRDefault="00012440" w:rsidP="00012440">
      <w:pPr>
        <w:numPr>
          <w:ilvl w:val="1"/>
          <w:numId w:val="6"/>
        </w:numPr>
      </w:pPr>
      <w:r w:rsidRPr="00012440">
        <w:t>Healthcare provider must approve return to work.</w:t>
      </w:r>
    </w:p>
    <w:p w14:paraId="7EC42CAE" w14:textId="77777777" w:rsidR="00012440" w:rsidRPr="00012440" w:rsidRDefault="00012440" w:rsidP="00012440">
      <w:pPr>
        <w:rPr>
          <w:b/>
          <w:bCs/>
        </w:rPr>
      </w:pPr>
      <w:r w:rsidRPr="00012440">
        <w:rPr>
          <w:b/>
          <w:bCs/>
        </w:rPr>
        <w:t>New—</w:t>
      </w:r>
      <w:hyperlink r:id="rId26" w:tgtFrame="_blank" w:history="1">
        <w:r w:rsidRPr="00012440">
          <w:rPr>
            <w:rStyle w:val="Hyperlink"/>
            <w:b/>
            <w:bCs/>
          </w:rPr>
          <w:t>Certified Food Protection Manager</w:t>
        </w:r>
      </w:hyperlink>
    </w:p>
    <w:p w14:paraId="46F302C0" w14:textId="77777777" w:rsidR="00012440" w:rsidRPr="00012440" w:rsidRDefault="00012440" w:rsidP="00012440">
      <w:r w:rsidRPr="00012440">
        <w:lastRenderedPageBreak/>
        <w:t>Beginning March 2023, you need access to a Certified Food Protection Manager (CFPM). The CFPM does not always need to be present. But, a copy of a valid certificate must be available during inspection. The CFPM makes sure each PIC is trained and able to control food safety in the establishment. You must take </w:t>
      </w:r>
      <w:hyperlink r:id="rId27" w:tgtFrame="_blank" w:history="1">
        <w:r w:rsidRPr="00012440">
          <w:rPr>
            <w:rStyle w:val="Hyperlink"/>
          </w:rPr>
          <w:t>ANSI-accredited training</w:t>
        </w:r>
      </w:hyperlink>
      <w:r w:rsidRPr="00012440">
        <w:t> to become a CFPM.</w:t>
      </w:r>
    </w:p>
    <w:p w14:paraId="73BD5D2F" w14:textId="77777777" w:rsidR="00012440" w:rsidRPr="00012440" w:rsidRDefault="00012440" w:rsidP="00012440">
      <w:pPr>
        <w:rPr>
          <w:b/>
          <w:bCs/>
        </w:rPr>
      </w:pPr>
      <w:r w:rsidRPr="00012440">
        <w:rPr>
          <w:b/>
          <w:bCs/>
        </w:rPr>
        <w:t>Update—</w:t>
      </w:r>
      <w:hyperlink r:id="rId28" w:tgtFrame="_blank" w:history="1">
        <w:r w:rsidRPr="00012440">
          <w:rPr>
            <w:rStyle w:val="Hyperlink"/>
            <w:b/>
            <w:bCs/>
          </w:rPr>
          <w:t>Molluscan Shellfish Tag</w:t>
        </w:r>
      </w:hyperlink>
    </w:p>
    <w:p w14:paraId="42ACC152" w14:textId="77777777" w:rsidR="00012440" w:rsidRPr="00012440" w:rsidRDefault="00012440" w:rsidP="00012440">
      <w:r w:rsidRPr="00012440">
        <w:t xml:space="preserve">Write both the first and last dates of service on </w:t>
      </w:r>
      <w:proofErr w:type="spellStart"/>
      <w:r w:rsidRPr="00012440">
        <w:t>shellstock</w:t>
      </w:r>
      <w:proofErr w:type="spellEnd"/>
      <w:r w:rsidRPr="00012440">
        <w:t xml:space="preserve"> tags. Keep them in an organized system for at least 90 days after the shellfish sells out.</w:t>
      </w:r>
    </w:p>
    <w:p w14:paraId="78813A55" w14:textId="77777777" w:rsidR="00012440" w:rsidRPr="00012440" w:rsidRDefault="00012440" w:rsidP="00012440">
      <w:r w:rsidRPr="00012440">
        <w:rPr>
          <w:i/>
          <w:iCs/>
        </w:rPr>
        <w:t>The previous rule did not include the first date of service on the tag.</w:t>
      </w:r>
    </w:p>
    <w:p w14:paraId="10A7BD07" w14:textId="77777777" w:rsidR="00012440" w:rsidRPr="00012440" w:rsidRDefault="00012440" w:rsidP="00012440">
      <w:pPr>
        <w:rPr>
          <w:b/>
          <w:bCs/>
        </w:rPr>
      </w:pPr>
      <w:r w:rsidRPr="00012440">
        <w:rPr>
          <w:b/>
          <w:bCs/>
        </w:rPr>
        <w:t>Update—Partially-Cooked Fish &amp; Parasite Destruction</w:t>
      </w:r>
    </w:p>
    <w:p w14:paraId="0E0B699F" w14:textId="77777777" w:rsidR="00012440" w:rsidRPr="00012440" w:rsidRDefault="00012440" w:rsidP="00012440">
      <w:r w:rsidRPr="00012440">
        <w:t>If fresh finfish is on your approved menu, you can serve it partially cooked when a customer requests it. Like fresh-caught salmon or halibut. You must include an updated consumer advisory on all menus.</w:t>
      </w:r>
    </w:p>
    <w:p w14:paraId="66DFB574" w14:textId="77777777" w:rsidR="00012440" w:rsidRPr="00012440" w:rsidRDefault="00012440" w:rsidP="00012440">
      <w:r w:rsidRPr="00012440">
        <w:rPr>
          <w:b/>
          <w:bCs/>
        </w:rPr>
        <w:t>Note:</w:t>
      </w:r>
      <w:r w:rsidRPr="00012440">
        <w:t> Fresh fish served raw must still have proper parasite destruction.</w:t>
      </w:r>
    </w:p>
    <w:p w14:paraId="2F4101ED" w14:textId="77777777" w:rsidR="00012440" w:rsidRPr="00012440" w:rsidRDefault="00012440" w:rsidP="00012440">
      <w:pPr>
        <w:rPr>
          <w:b/>
          <w:bCs/>
        </w:rPr>
      </w:pPr>
      <w:r w:rsidRPr="00012440">
        <w:rPr>
          <w:b/>
          <w:bCs/>
        </w:rPr>
        <w:t>Update—</w:t>
      </w:r>
      <w:hyperlink r:id="rId29" w:tgtFrame="_blank" w:history="1">
        <w:r w:rsidRPr="00012440">
          <w:rPr>
            <w:rStyle w:val="Hyperlink"/>
            <w:b/>
            <w:bCs/>
          </w:rPr>
          <w:t>Cooking Temperature for Eggs and Ground Meat</w:t>
        </w:r>
      </w:hyperlink>
    </w:p>
    <w:p w14:paraId="6BF3B251" w14:textId="77777777" w:rsidR="00012440" w:rsidRPr="00012440" w:rsidRDefault="00012440" w:rsidP="00012440">
      <w:r w:rsidRPr="00012440">
        <w:t>Cook the following to 158°F:</w:t>
      </w:r>
    </w:p>
    <w:p w14:paraId="7F0CC9BA" w14:textId="77777777" w:rsidR="00012440" w:rsidRPr="00012440" w:rsidRDefault="00012440" w:rsidP="00012440">
      <w:pPr>
        <w:numPr>
          <w:ilvl w:val="0"/>
          <w:numId w:val="7"/>
        </w:numPr>
      </w:pPr>
      <w:r w:rsidRPr="00012440">
        <w:t>Scrambled eggs made in a batch for more than 1 person.</w:t>
      </w:r>
    </w:p>
    <w:p w14:paraId="28A3F1F6" w14:textId="77777777" w:rsidR="00012440" w:rsidRPr="00012440" w:rsidRDefault="00012440" w:rsidP="00012440">
      <w:pPr>
        <w:numPr>
          <w:ilvl w:val="0"/>
          <w:numId w:val="7"/>
        </w:numPr>
      </w:pPr>
      <w:r w:rsidRPr="00012440">
        <w:t>Ground meat, such as hamburger and sausage.</w:t>
      </w:r>
    </w:p>
    <w:p w14:paraId="34863AEB" w14:textId="77777777" w:rsidR="00012440" w:rsidRPr="00012440" w:rsidRDefault="00012440" w:rsidP="00012440">
      <w:r w:rsidRPr="00012440">
        <w:rPr>
          <w:b/>
          <w:bCs/>
        </w:rPr>
        <w:t>Exception:</w:t>
      </w:r>
      <w:r w:rsidRPr="00012440">
        <w:t> If you want to continue cooking to 155°F, you must have a plan approved by the Health Department. The cooking process must hold these foods at 155°F for at least 17 seconds.</w:t>
      </w:r>
    </w:p>
    <w:p w14:paraId="1C8F06F7" w14:textId="77777777" w:rsidR="00012440" w:rsidRPr="00012440" w:rsidRDefault="00012440" w:rsidP="00012440">
      <w:r w:rsidRPr="00012440">
        <w:rPr>
          <w:i/>
          <w:iCs/>
        </w:rPr>
        <w:t>The previous rule required cooking ground meats to 155</w:t>
      </w:r>
      <w:r w:rsidRPr="00012440">
        <w:t>°</w:t>
      </w:r>
      <w:r w:rsidRPr="00012440">
        <w:rPr>
          <w:i/>
          <w:iCs/>
        </w:rPr>
        <w:t>F and holding for 15 seconds.</w:t>
      </w:r>
    </w:p>
    <w:p w14:paraId="360AF10C" w14:textId="77777777" w:rsidR="00012440" w:rsidRPr="00012440" w:rsidRDefault="00012440" w:rsidP="00012440">
      <w:pPr>
        <w:rPr>
          <w:b/>
          <w:bCs/>
        </w:rPr>
      </w:pPr>
      <w:r w:rsidRPr="00012440">
        <w:rPr>
          <w:b/>
          <w:bCs/>
        </w:rPr>
        <w:t>Update—Pet Dogs in Food Establishments</w:t>
      </w:r>
    </w:p>
    <w:p w14:paraId="5CCE1F7E" w14:textId="77777777" w:rsidR="00012440" w:rsidRPr="00012440" w:rsidRDefault="00012440" w:rsidP="00012440">
      <w:r w:rsidRPr="00012440">
        <w:t>You may allow pet dogs:</w:t>
      </w:r>
    </w:p>
    <w:p w14:paraId="6A9AFF36" w14:textId="77777777" w:rsidR="00012440" w:rsidRPr="00012440" w:rsidRDefault="00012440" w:rsidP="00012440">
      <w:pPr>
        <w:numPr>
          <w:ilvl w:val="0"/>
          <w:numId w:val="8"/>
        </w:numPr>
      </w:pPr>
      <w:r w:rsidRPr="00012440">
        <w:t>Indoors—If your establishment does not prepare food. Like a brewery serving beverages and individually pre-packaged, commercially prepared foods.</w:t>
      </w:r>
    </w:p>
    <w:p w14:paraId="573D9DAC" w14:textId="77777777" w:rsidR="00012440" w:rsidRPr="00012440" w:rsidRDefault="00012440" w:rsidP="00012440">
      <w:pPr>
        <w:numPr>
          <w:ilvl w:val="0"/>
          <w:numId w:val="8"/>
        </w:numPr>
      </w:pPr>
      <w:r w:rsidRPr="00012440">
        <w:t>Outdoor dining areas—Submit a plan to the Health Department for approval.</w:t>
      </w:r>
    </w:p>
    <w:p w14:paraId="71D6AE44" w14:textId="77777777" w:rsidR="00012440" w:rsidRPr="00012440" w:rsidRDefault="00012440" w:rsidP="00012440">
      <w:r w:rsidRPr="00012440">
        <w:rPr>
          <w:b/>
          <w:bCs/>
        </w:rPr>
        <w:t>Note:</w:t>
      </w:r>
      <w:r w:rsidRPr="00012440">
        <w:t> Working service animals (a dog or in some cases a miniature horse) are not the same as pets. They train to do a task for a person with a disability. They can go in any customer areas within a food establishment.</w:t>
      </w:r>
    </w:p>
    <w:p w14:paraId="53E85E4A" w14:textId="77777777" w:rsidR="00012440" w:rsidRPr="00012440" w:rsidRDefault="00012440" w:rsidP="00012440">
      <w:r w:rsidRPr="00012440">
        <w:rPr>
          <w:i/>
          <w:iCs/>
        </w:rPr>
        <w:t>The previous rule did not allow pets in food establishments.</w:t>
      </w:r>
    </w:p>
    <w:p w14:paraId="147612D4" w14:textId="77777777" w:rsidR="00012440" w:rsidRPr="00012440" w:rsidRDefault="00012440" w:rsidP="00012440">
      <w:pPr>
        <w:rPr>
          <w:b/>
          <w:bCs/>
        </w:rPr>
      </w:pPr>
      <w:r w:rsidRPr="00012440">
        <w:rPr>
          <w:b/>
          <w:bCs/>
        </w:rPr>
        <w:t>Update—Refilling Reusables</w:t>
      </w:r>
    </w:p>
    <w:p w14:paraId="10BD0F9B" w14:textId="77777777" w:rsidR="00012440" w:rsidRPr="00012440" w:rsidRDefault="00012440" w:rsidP="00012440">
      <w:r w:rsidRPr="00012440">
        <w:t>You may allow refills in customer’s containers. Create a written plan and submit it for Health Department approval.</w:t>
      </w:r>
    </w:p>
    <w:p w14:paraId="400C76D0" w14:textId="77777777" w:rsidR="00012440" w:rsidRPr="00012440" w:rsidRDefault="00012440" w:rsidP="00012440">
      <w:r w:rsidRPr="00012440">
        <w:rPr>
          <w:i/>
          <w:iCs/>
        </w:rPr>
        <w:t>The previous rule did not allow you to refill most consumer-owned containers.</w:t>
      </w:r>
    </w:p>
    <w:p w14:paraId="3936EAAC" w14:textId="77777777" w:rsidR="00012440" w:rsidRPr="00012440" w:rsidRDefault="00012440" w:rsidP="00012440">
      <w:pPr>
        <w:rPr>
          <w:b/>
          <w:bCs/>
        </w:rPr>
      </w:pPr>
      <w:r w:rsidRPr="00012440">
        <w:rPr>
          <w:b/>
          <w:bCs/>
        </w:rPr>
        <w:t>New—Food Establishments without Permanent Plumbing</w:t>
      </w:r>
    </w:p>
    <w:p w14:paraId="0AD58B8C" w14:textId="77777777" w:rsidR="00012440" w:rsidRPr="00012440" w:rsidRDefault="00012440" w:rsidP="00012440">
      <w:r w:rsidRPr="00012440">
        <w:lastRenderedPageBreak/>
        <w:t>All permitted food establishments must connect to public water and sanitary sewer or septic. This change doesn’t affect mobile food units that move daily.</w:t>
      </w:r>
    </w:p>
    <w:p w14:paraId="3D574324" w14:textId="77777777" w:rsidR="00012440" w:rsidRPr="00012440" w:rsidRDefault="00012440" w:rsidP="00012440">
      <w:pPr>
        <w:numPr>
          <w:ilvl w:val="0"/>
          <w:numId w:val="9"/>
        </w:numPr>
      </w:pPr>
      <w:r w:rsidRPr="00012440">
        <w:rPr>
          <w:b/>
          <w:bCs/>
        </w:rPr>
        <w:t>Existing facilities—</w:t>
      </w:r>
      <w:r w:rsidRPr="00012440">
        <w:t>You don’t need to do anything if you currently operate with holding tanks. But, if you make a change to your facility, you need to submit a variance application. This includes plan review to change your menu or processes or if a change of ownership occurs.</w:t>
      </w:r>
    </w:p>
    <w:p w14:paraId="57B78847" w14:textId="77777777" w:rsidR="00012440" w:rsidRPr="00012440" w:rsidRDefault="00012440" w:rsidP="00012440">
      <w:pPr>
        <w:numPr>
          <w:ilvl w:val="0"/>
          <w:numId w:val="9"/>
        </w:numPr>
      </w:pPr>
      <w:r w:rsidRPr="00012440">
        <w:rPr>
          <w:b/>
          <w:bCs/>
        </w:rPr>
        <w:t>New facilities</w:t>
      </w:r>
      <w:r w:rsidRPr="00012440">
        <w:t>—You may submit a variance application with your plan review. Applying for a variance does not guarantee approval.</w:t>
      </w:r>
    </w:p>
    <w:p w14:paraId="36F40195" w14:textId="77777777" w:rsidR="00012440" w:rsidRPr="00012440" w:rsidRDefault="00012440" w:rsidP="00012440">
      <w:r w:rsidRPr="00012440">
        <w:rPr>
          <w:b/>
          <w:bCs/>
        </w:rPr>
        <w:t>With a variance you can operate with a limited menu, such as coffee or commercially made foods.</w:t>
      </w:r>
    </w:p>
    <w:p w14:paraId="49ED7949" w14:textId="77777777" w:rsidR="00012440" w:rsidRPr="00012440" w:rsidRDefault="00012440" w:rsidP="00012440">
      <w:r w:rsidRPr="00012440">
        <w:t>You must use a commissary to support the operations of the food establishment, like:</w:t>
      </w:r>
    </w:p>
    <w:p w14:paraId="3652BC4A" w14:textId="77777777" w:rsidR="00012440" w:rsidRPr="00012440" w:rsidRDefault="00012440" w:rsidP="00012440">
      <w:pPr>
        <w:numPr>
          <w:ilvl w:val="0"/>
          <w:numId w:val="10"/>
        </w:numPr>
      </w:pPr>
      <w:r w:rsidRPr="00012440">
        <w:t>Filling and emptying holding tanks.</w:t>
      </w:r>
    </w:p>
    <w:p w14:paraId="1F0E2366" w14:textId="77777777" w:rsidR="00012440" w:rsidRPr="00012440" w:rsidRDefault="00012440" w:rsidP="00012440">
      <w:pPr>
        <w:numPr>
          <w:ilvl w:val="0"/>
          <w:numId w:val="10"/>
        </w:numPr>
      </w:pPr>
      <w:r w:rsidRPr="00012440">
        <w:t>Employee restroom access.</w:t>
      </w:r>
    </w:p>
    <w:p w14:paraId="7C70C296" w14:textId="77777777" w:rsidR="00012440" w:rsidRPr="00012440" w:rsidRDefault="00012440" w:rsidP="00012440">
      <w:pPr>
        <w:numPr>
          <w:ilvl w:val="0"/>
          <w:numId w:val="10"/>
        </w:numPr>
      </w:pPr>
      <w:r w:rsidRPr="00012440">
        <w:t>Mop sink for cleaning the food establishment.</w:t>
      </w:r>
    </w:p>
    <w:p w14:paraId="0CE60016" w14:textId="77777777" w:rsidR="00012440" w:rsidRPr="00012440" w:rsidRDefault="00012440" w:rsidP="00012440">
      <w:pPr>
        <w:rPr>
          <w:b/>
          <w:bCs/>
        </w:rPr>
      </w:pPr>
      <w:r w:rsidRPr="00012440">
        <w:rPr>
          <w:b/>
          <w:bCs/>
        </w:rPr>
        <w:t>Resources</w:t>
      </w:r>
    </w:p>
    <w:p w14:paraId="6E9E0EC0" w14:textId="77777777" w:rsidR="00012440" w:rsidRPr="00012440" w:rsidRDefault="00012440" w:rsidP="00012440">
      <w:pPr>
        <w:numPr>
          <w:ilvl w:val="0"/>
          <w:numId w:val="11"/>
        </w:numPr>
      </w:pPr>
      <w:hyperlink r:id="rId30" w:history="1">
        <w:r w:rsidRPr="00012440">
          <w:rPr>
            <w:rStyle w:val="Hyperlink"/>
          </w:rPr>
          <w:t>Washington State Food Worker Manual</w:t>
        </w:r>
      </w:hyperlink>
      <w:r w:rsidRPr="00012440">
        <w:t>.</w:t>
      </w:r>
    </w:p>
    <w:p w14:paraId="40A8D5E2" w14:textId="77777777" w:rsidR="00012440" w:rsidRPr="00012440" w:rsidRDefault="00012440" w:rsidP="00012440">
      <w:pPr>
        <w:numPr>
          <w:ilvl w:val="0"/>
          <w:numId w:val="11"/>
        </w:numPr>
      </w:pPr>
      <w:hyperlink r:id="rId31" w:tgtFrame="_blank" w:history="1">
        <w:r w:rsidRPr="00012440">
          <w:rPr>
            <w:rStyle w:val="Hyperlink"/>
          </w:rPr>
          <w:t>Retail Food Code, Chapter 246-215 WAC – Effective March 1, 2022</w:t>
        </w:r>
      </w:hyperlink>
      <w:r w:rsidRPr="00012440">
        <w:t>.</w:t>
      </w:r>
    </w:p>
    <w:p w14:paraId="28221BF1" w14:textId="77777777" w:rsidR="00012440" w:rsidRPr="00012440" w:rsidRDefault="00012440" w:rsidP="00012440">
      <w:pPr>
        <w:numPr>
          <w:ilvl w:val="0"/>
          <w:numId w:val="11"/>
        </w:numPr>
      </w:pPr>
      <w:hyperlink r:id="rId32" w:tgtFrame="_blank" w:history="1">
        <w:r w:rsidRPr="00012440">
          <w:rPr>
            <w:rStyle w:val="Hyperlink"/>
          </w:rPr>
          <w:t xml:space="preserve">Vomit and </w:t>
        </w:r>
        <w:proofErr w:type="spellStart"/>
        <w:r w:rsidRPr="00012440">
          <w:rPr>
            <w:rStyle w:val="Hyperlink"/>
          </w:rPr>
          <w:t>Diarrhea</w:t>
        </w:r>
        <w:proofErr w:type="spellEnd"/>
        <w:r w:rsidRPr="00012440">
          <w:rPr>
            <w:rStyle w:val="Hyperlink"/>
          </w:rPr>
          <w:t xml:space="preserve"> Clean-up Plan template</w:t>
        </w:r>
      </w:hyperlink>
      <w:r w:rsidRPr="00012440">
        <w:t>.</w:t>
      </w:r>
    </w:p>
    <w:p w14:paraId="3F96A20D" w14:textId="77777777" w:rsidR="00012440" w:rsidRPr="00012440" w:rsidRDefault="00012440" w:rsidP="00012440">
      <w:pPr>
        <w:rPr>
          <w:b/>
          <w:bCs/>
        </w:rPr>
      </w:pPr>
      <w:r w:rsidRPr="00012440">
        <w:rPr>
          <w:b/>
          <w:bCs/>
        </w:rPr>
        <w:t>Questions?</w:t>
      </w:r>
    </w:p>
    <w:p w14:paraId="10D39ABA" w14:textId="77777777" w:rsidR="00012440" w:rsidRPr="00012440" w:rsidRDefault="00012440" w:rsidP="00012440">
      <w:r w:rsidRPr="00012440">
        <w:t>Ask your inspector or contact </w:t>
      </w:r>
      <w:hyperlink r:id="rId33" w:history="1">
        <w:r w:rsidRPr="00012440">
          <w:rPr>
            <w:rStyle w:val="Hyperlink"/>
          </w:rPr>
          <w:t>food@tpchd.org</w:t>
        </w:r>
      </w:hyperlink>
      <w:r w:rsidRPr="00012440">
        <w:t> or (253) 649-1417.</w:t>
      </w:r>
    </w:p>
    <w:p w14:paraId="29F59036" w14:textId="77777777" w:rsidR="00012440" w:rsidRDefault="00012440"/>
    <w:sectPr w:rsidR="0001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C17"/>
    <w:multiLevelType w:val="multilevel"/>
    <w:tmpl w:val="095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5B7F"/>
    <w:multiLevelType w:val="multilevel"/>
    <w:tmpl w:val="B3DC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727D5"/>
    <w:multiLevelType w:val="multilevel"/>
    <w:tmpl w:val="B21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03758"/>
    <w:multiLevelType w:val="multilevel"/>
    <w:tmpl w:val="BDF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664CF"/>
    <w:multiLevelType w:val="multilevel"/>
    <w:tmpl w:val="5B7E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B0307"/>
    <w:multiLevelType w:val="multilevel"/>
    <w:tmpl w:val="C09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64CEF"/>
    <w:multiLevelType w:val="multilevel"/>
    <w:tmpl w:val="487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77340"/>
    <w:multiLevelType w:val="multilevel"/>
    <w:tmpl w:val="538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F3651"/>
    <w:multiLevelType w:val="multilevel"/>
    <w:tmpl w:val="E422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73FAF"/>
    <w:multiLevelType w:val="multilevel"/>
    <w:tmpl w:val="9ECA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4507D"/>
    <w:multiLevelType w:val="multilevel"/>
    <w:tmpl w:val="0DE2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194431">
    <w:abstractNumId w:val="4"/>
  </w:num>
  <w:num w:numId="2" w16cid:durableId="83962865">
    <w:abstractNumId w:val="6"/>
  </w:num>
  <w:num w:numId="3" w16cid:durableId="7367443">
    <w:abstractNumId w:val="0"/>
  </w:num>
  <w:num w:numId="4" w16cid:durableId="28460735">
    <w:abstractNumId w:val="1"/>
  </w:num>
  <w:num w:numId="5" w16cid:durableId="1400204951">
    <w:abstractNumId w:val="7"/>
  </w:num>
  <w:num w:numId="6" w16cid:durableId="448280236">
    <w:abstractNumId w:val="8"/>
  </w:num>
  <w:num w:numId="7" w16cid:durableId="1959873015">
    <w:abstractNumId w:val="5"/>
  </w:num>
  <w:num w:numId="8" w16cid:durableId="605625696">
    <w:abstractNumId w:val="9"/>
  </w:num>
  <w:num w:numId="9" w16cid:durableId="1749228121">
    <w:abstractNumId w:val="3"/>
  </w:num>
  <w:num w:numId="10" w16cid:durableId="1658533367">
    <w:abstractNumId w:val="2"/>
  </w:num>
  <w:num w:numId="11" w16cid:durableId="1642690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BB"/>
    <w:rsid w:val="00012440"/>
    <w:rsid w:val="00383EBB"/>
    <w:rsid w:val="003C4481"/>
    <w:rsid w:val="00777826"/>
    <w:rsid w:val="00826734"/>
    <w:rsid w:val="00C5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F0A1"/>
  <w15:chartTrackingRefBased/>
  <w15:docId w15:val="{77FB97C7-94C5-4727-9848-2031C77B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440"/>
    <w:rPr>
      <w:color w:val="0563C1" w:themeColor="hyperlink"/>
      <w:u w:val="single"/>
    </w:rPr>
  </w:style>
  <w:style w:type="character" w:styleId="UnresolvedMention">
    <w:name w:val="Unresolved Mention"/>
    <w:basedOn w:val="DefaultParagraphFont"/>
    <w:uiPriority w:val="99"/>
    <w:semiHidden/>
    <w:unhideWhenUsed/>
    <w:rsid w:val="00012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199498">
      <w:bodyDiv w:val="1"/>
      <w:marLeft w:val="0"/>
      <w:marRight w:val="0"/>
      <w:marTop w:val="0"/>
      <w:marBottom w:val="0"/>
      <w:divBdr>
        <w:top w:val="none" w:sz="0" w:space="0" w:color="auto"/>
        <w:left w:val="none" w:sz="0" w:space="0" w:color="auto"/>
        <w:bottom w:val="none" w:sz="0" w:space="0" w:color="auto"/>
        <w:right w:val="none" w:sz="0" w:space="0" w:color="auto"/>
      </w:divBdr>
      <w:divsChild>
        <w:div w:id="1229147802">
          <w:marLeft w:val="0"/>
          <w:marRight w:val="0"/>
          <w:marTop w:val="0"/>
          <w:marBottom w:val="300"/>
          <w:divBdr>
            <w:top w:val="none" w:sz="0" w:space="0" w:color="auto"/>
            <w:left w:val="none" w:sz="0" w:space="0" w:color="auto"/>
            <w:bottom w:val="none" w:sz="0" w:space="0" w:color="auto"/>
            <w:right w:val="none" w:sz="0" w:space="0" w:color="auto"/>
          </w:divBdr>
          <w:divsChild>
            <w:div w:id="237449762">
              <w:marLeft w:val="0"/>
              <w:marRight w:val="0"/>
              <w:marTop w:val="0"/>
              <w:marBottom w:val="0"/>
              <w:divBdr>
                <w:top w:val="none" w:sz="0" w:space="0" w:color="auto"/>
                <w:left w:val="none" w:sz="0" w:space="0" w:color="auto"/>
                <w:bottom w:val="none" w:sz="0" w:space="0" w:color="auto"/>
                <w:right w:val="none" w:sz="0" w:space="0" w:color="auto"/>
              </w:divBdr>
            </w:div>
          </w:divsChild>
        </w:div>
        <w:div w:id="135223420">
          <w:marLeft w:val="0"/>
          <w:marRight w:val="0"/>
          <w:marTop w:val="0"/>
          <w:marBottom w:val="300"/>
          <w:divBdr>
            <w:top w:val="none" w:sz="0" w:space="0" w:color="auto"/>
            <w:left w:val="none" w:sz="0" w:space="0" w:color="auto"/>
            <w:bottom w:val="none" w:sz="0" w:space="0" w:color="auto"/>
            <w:right w:val="none" w:sz="0" w:space="0" w:color="auto"/>
          </w:divBdr>
          <w:divsChild>
            <w:div w:id="303001588">
              <w:marLeft w:val="0"/>
              <w:marRight w:val="0"/>
              <w:marTop w:val="0"/>
              <w:marBottom w:val="0"/>
              <w:divBdr>
                <w:top w:val="none" w:sz="0" w:space="0" w:color="auto"/>
                <w:left w:val="none" w:sz="0" w:space="0" w:color="auto"/>
                <w:bottom w:val="none" w:sz="0" w:space="0" w:color="auto"/>
                <w:right w:val="none" w:sz="0" w:space="0" w:color="auto"/>
              </w:divBdr>
            </w:div>
          </w:divsChild>
        </w:div>
        <w:div w:id="1580941528">
          <w:marLeft w:val="0"/>
          <w:marRight w:val="0"/>
          <w:marTop w:val="0"/>
          <w:marBottom w:val="0"/>
          <w:divBdr>
            <w:top w:val="none" w:sz="0" w:space="0" w:color="auto"/>
            <w:left w:val="none" w:sz="0" w:space="0" w:color="auto"/>
            <w:bottom w:val="none" w:sz="0" w:space="0" w:color="auto"/>
            <w:right w:val="none" w:sz="0" w:space="0" w:color="auto"/>
          </w:divBdr>
          <w:divsChild>
            <w:div w:id="890311527">
              <w:marLeft w:val="0"/>
              <w:marRight w:val="0"/>
              <w:marTop w:val="0"/>
              <w:marBottom w:val="0"/>
              <w:divBdr>
                <w:top w:val="none" w:sz="0" w:space="0" w:color="auto"/>
                <w:left w:val="none" w:sz="0" w:space="0" w:color="auto"/>
                <w:bottom w:val="none" w:sz="0" w:space="0" w:color="auto"/>
                <w:right w:val="none" w:sz="0" w:space="0" w:color="auto"/>
              </w:divBdr>
              <w:divsChild>
                <w:div w:id="370694592">
                  <w:marLeft w:val="0"/>
                  <w:marRight w:val="0"/>
                  <w:marTop w:val="0"/>
                  <w:marBottom w:val="420"/>
                  <w:divBdr>
                    <w:top w:val="none" w:sz="0" w:space="0" w:color="auto"/>
                    <w:left w:val="none" w:sz="0" w:space="0" w:color="auto"/>
                    <w:bottom w:val="none" w:sz="0" w:space="0" w:color="auto"/>
                    <w:right w:val="none" w:sz="0" w:space="0" w:color="auto"/>
                  </w:divBdr>
                  <w:divsChild>
                    <w:div w:id="397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6799">
      <w:bodyDiv w:val="1"/>
      <w:marLeft w:val="0"/>
      <w:marRight w:val="0"/>
      <w:marTop w:val="0"/>
      <w:marBottom w:val="0"/>
      <w:divBdr>
        <w:top w:val="none" w:sz="0" w:space="0" w:color="auto"/>
        <w:left w:val="none" w:sz="0" w:space="0" w:color="auto"/>
        <w:bottom w:val="none" w:sz="0" w:space="0" w:color="auto"/>
        <w:right w:val="none" w:sz="0" w:space="0" w:color="auto"/>
      </w:divBdr>
      <w:divsChild>
        <w:div w:id="1408772654">
          <w:marLeft w:val="0"/>
          <w:marRight w:val="0"/>
          <w:marTop w:val="0"/>
          <w:marBottom w:val="300"/>
          <w:divBdr>
            <w:top w:val="none" w:sz="0" w:space="0" w:color="auto"/>
            <w:left w:val="none" w:sz="0" w:space="0" w:color="auto"/>
            <w:bottom w:val="none" w:sz="0" w:space="0" w:color="auto"/>
            <w:right w:val="none" w:sz="0" w:space="0" w:color="auto"/>
          </w:divBdr>
          <w:divsChild>
            <w:div w:id="1390498400">
              <w:marLeft w:val="0"/>
              <w:marRight w:val="0"/>
              <w:marTop w:val="0"/>
              <w:marBottom w:val="0"/>
              <w:divBdr>
                <w:top w:val="none" w:sz="0" w:space="0" w:color="auto"/>
                <w:left w:val="none" w:sz="0" w:space="0" w:color="auto"/>
                <w:bottom w:val="none" w:sz="0" w:space="0" w:color="auto"/>
                <w:right w:val="none" w:sz="0" w:space="0" w:color="auto"/>
              </w:divBdr>
            </w:div>
          </w:divsChild>
        </w:div>
        <w:div w:id="959609833">
          <w:marLeft w:val="0"/>
          <w:marRight w:val="0"/>
          <w:marTop w:val="0"/>
          <w:marBottom w:val="300"/>
          <w:divBdr>
            <w:top w:val="none" w:sz="0" w:space="0" w:color="auto"/>
            <w:left w:val="none" w:sz="0" w:space="0" w:color="auto"/>
            <w:bottom w:val="none" w:sz="0" w:space="0" w:color="auto"/>
            <w:right w:val="none" w:sz="0" w:space="0" w:color="auto"/>
          </w:divBdr>
          <w:divsChild>
            <w:div w:id="1073234313">
              <w:marLeft w:val="0"/>
              <w:marRight w:val="0"/>
              <w:marTop w:val="0"/>
              <w:marBottom w:val="0"/>
              <w:divBdr>
                <w:top w:val="none" w:sz="0" w:space="0" w:color="auto"/>
                <w:left w:val="none" w:sz="0" w:space="0" w:color="auto"/>
                <w:bottom w:val="none" w:sz="0" w:space="0" w:color="auto"/>
                <w:right w:val="none" w:sz="0" w:space="0" w:color="auto"/>
              </w:divBdr>
            </w:div>
          </w:divsChild>
        </w:div>
        <w:div w:id="1802647824">
          <w:marLeft w:val="0"/>
          <w:marRight w:val="0"/>
          <w:marTop w:val="0"/>
          <w:marBottom w:val="0"/>
          <w:divBdr>
            <w:top w:val="none" w:sz="0" w:space="0" w:color="auto"/>
            <w:left w:val="none" w:sz="0" w:space="0" w:color="auto"/>
            <w:bottom w:val="none" w:sz="0" w:space="0" w:color="auto"/>
            <w:right w:val="none" w:sz="0" w:space="0" w:color="auto"/>
          </w:divBdr>
          <w:divsChild>
            <w:div w:id="1010177095">
              <w:marLeft w:val="0"/>
              <w:marRight w:val="0"/>
              <w:marTop w:val="0"/>
              <w:marBottom w:val="0"/>
              <w:divBdr>
                <w:top w:val="none" w:sz="0" w:space="0" w:color="auto"/>
                <w:left w:val="none" w:sz="0" w:space="0" w:color="auto"/>
                <w:bottom w:val="none" w:sz="0" w:space="0" w:color="auto"/>
                <w:right w:val="none" w:sz="0" w:space="0" w:color="auto"/>
              </w:divBdr>
              <w:divsChild>
                <w:div w:id="1758164386">
                  <w:marLeft w:val="0"/>
                  <w:marRight w:val="0"/>
                  <w:marTop w:val="0"/>
                  <w:marBottom w:val="420"/>
                  <w:divBdr>
                    <w:top w:val="none" w:sz="0" w:space="0" w:color="auto"/>
                    <w:left w:val="none" w:sz="0" w:space="0" w:color="auto"/>
                    <w:bottom w:val="none" w:sz="0" w:space="0" w:color="auto"/>
                    <w:right w:val="none" w:sz="0" w:space="0" w:color="auto"/>
                  </w:divBdr>
                  <w:divsChild>
                    <w:div w:id="17816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pchd.org/wp-content/uploads/2023/12/Washington-State-Food-Worker-Manual-1.pdf" TargetMode="External"/><Relationship Id="rId18" Type="http://schemas.openxmlformats.org/officeDocument/2006/relationships/hyperlink" Target="https://tpchd.org/wp-content/uploads/2024/04/Date-Marking-Samoan.pdf" TargetMode="External"/><Relationship Id="rId26" Type="http://schemas.openxmlformats.org/officeDocument/2006/relationships/hyperlink" Target="https://tpchd.org/wp-content/uploads/2023/12/Washington-State-Food-Worker-Manual-1.pdf" TargetMode="External"/><Relationship Id="rId3" Type="http://schemas.openxmlformats.org/officeDocument/2006/relationships/settings" Target="settings.xml"/><Relationship Id="rId21" Type="http://schemas.openxmlformats.org/officeDocument/2006/relationships/hyperlink" Target="https://tpchd.org/wp-content/uploads/2024/04/Date-Marking-Ukrainian.pdf" TargetMode="External"/><Relationship Id="rId34" Type="http://schemas.openxmlformats.org/officeDocument/2006/relationships/fontTable" Target="fontTable.xml"/><Relationship Id="rId7" Type="http://schemas.openxmlformats.org/officeDocument/2006/relationships/hyperlink" Target="https://tpchd.org/healthy-places/food-safety/" TargetMode="External"/><Relationship Id="rId12" Type="http://schemas.openxmlformats.org/officeDocument/2006/relationships/hyperlink" Target="https://tpchd.org/wp-content/uploads/2023/12/Washington-State-Food-Worker-Manual-1.pdf" TargetMode="External"/><Relationship Id="rId17" Type="http://schemas.openxmlformats.org/officeDocument/2006/relationships/hyperlink" Target="https://tpchd.org/wp-content/uploads/2024/04/Date-Marking-Russian.pdf" TargetMode="External"/><Relationship Id="rId25" Type="http://schemas.openxmlformats.org/officeDocument/2006/relationships/hyperlink" Target="https://tpchd.org/wp-content/uploads/2023/12/Washington-State-Food-Worker-Manual-1.pdf" TargetMode="External"/><Relationship Id="rId33" Type="http://schemas.openxmlformats.org/officeDocument/2006/relationships/hyperlink" Target="mailto:food@tpchd.org" TargetMode="External"/><Relationship Id="rId2" Type="http://schemas.openxmlformats.org/officeDocument/2006/relationships/styles" Target="styles.xml"/><Relationship Id="rId16" Type="http://schemas.openxmlformats.org/officeDocument/2006/relationships/hyperlink" Target="https://tpchd.org/wp-content/uploads/2024/04/Date-Marking-Korean.pdf" TargetMode="External"/><Relationship Id="rId20" Type="http://schemas.openxmlformats.org/officeDocument/2006/relationships/hyperlink" Target="https://tpchd.org/wp-content/uploads/2024/04/Date-Marking-Tagalog.pdf" TargetMode="External"/><Relationship Id="rId29" Type="http://schemas.openxmlformats.org/officeDocument/2006/relationships/hyperlink" Target="https://tpchd.org/wp-content/uploads/2023/12/Washington-State-Food-Worker-Manual-1.pdf" TargetMode="External"/><Relationship Id="rId1" Type="http://schemas.openxmlformats.org/officeDocument/2006/relationships/numbering" Target="numbering.xml"/><Relationship Id="rId6" Type="http://schemas.openxmlformats.org/officeDocument/2006/relationships/hyperlink" Target="https://tpchd.org/healthy-places/" TargetMode="External"/><Relationship Id="rId11" Type="http://schemas.openxmlformats.org/officeDocument/2006/relationships/hyperlink" Target="https://tpchd.org/wp-content/uploads/2023/12/Washington-State-Food-Worker-Manual-1.pdf" TargetMode="External"/><Relationship Id="rId24" Type="http://schemas.openxmlformats.org/officeDocument/2006/relationships/hyperlink" Target="https://tpchd.org/wp-content/uploads/2023/12/Vomit-and-Diarrhea-Clean-Up-Plan.pdf" TargetMode="External"/><Relationship Id="rId32" Type="http://schemas.openxmlformats.org/officeDocument/2006/relationships/hyperlink" Target="https://tpchd.org/wp-content/uploads/2023/12/Vomit-and-Diarrhea-Clean-Up-Plan.pdf" TargetMode="External"/><Relationship Id="rId5" Type="http://schemas.openxmlformats.org/officeDocument/2006/relationships/hyperlink" Target="https://tpchd.org/" TargetMode="External"/><Relationship Id="rId15" Type="http://schemas.openxmlformats.org/officeDocument/2006/relationships/hyperlink" Target="https://tpchd.org/wp-content/uploads/2024/04/Date-Marking-Kmher.pdf" TargetMode="External"/><Relationship Id="rId23" Type="http://schemas.openxmlformats.org/officeDocument/2006/relationships/hyperlink" Target="https://tpchd.org/wp-content/uploads/2023/12/Vomit-and-Diarrhea-Clean-Up-Plan.pdf" TargetMode="External"/><Relationship Id="rId28" Type="http://schemas.openxmlformats.org/officeDocument/2006/relationships/hyperlink" Target="https://tpchd.org/wp-content/uploads/2023/12/Washington-State-Food-Worker-Manual-1.pdf" TargetMode="External"/><Relationship Id="rId10" Type="http://schemas.openxmlformats.org/officeDocument/2006/relationships/hyperlink" Target="https://www.fda.gov/food/fda-food-code/food-code-2017" TargetMode="External"/><Relationship Id="rId19" Type="http://schemas.openxmlformats.org/officeDocument/2006/relationships/hyperlink" Target="https://tpchd.org/wp-content/uploads/2024/04/Date-Marking-Spanish.pdf" TargetMode="External"/><Relationship Id="rId31" Type="http://schemas.openxmlformats.org/officeDocument/2006/relationships/hyperlink" Target="https://doh.wa.gov/sites/default/files/legacy/Documents/4400/FoodCodeRuleRevision-WAC246215-EffectiveMarch12022.pdf" TargetMode="External"/><Relationship Id="rId4" Type="http://schemas.openxmlformats.org/officeDocument/2006/relationships/webSettings" Target="webSettings.xml"/><Relationship Id="rId9" Type="http://schemas.openxmlformats.org/officeDocument/2006/relationships/hyperlink" Target="https://doh.wa.gov/sites/default/files/legacy/Documents/4400/FoodCodeRuleRevision-WAC246215-EffectiveMarch12022.pdf" TargetMode="External"/><Relationship Id="rId14" Type="http://schemas.openxmlformats.org/officeDocument/2006/relationships/hyperlink" Target="https://tpchd.org/wp-content/uploads/2024/04/Date-Marking.pdf" TargetMode="External"/><Relationship Id="rId22" Type="http://schemas.openxmlformats.org/officeDocument/2006/relationships/hyperlink" Target="https://tpchd.org/wp-content/uploads/2024/04/Date-Marking-Vietnamese.pdf" TargetMode="External"/><Relationship Id="rId27" Type="http://schemas.openxmlformats.org/officeDocument/2006/relationships/hyperlink" Target="https://doh.wa.gov/community-and-environment/food/food-worker-and-industry/food-worker-card/additional-food-safety-training" TargetMode="External"/><Relationship Id="rId30" Type="http://schemas.openxmlformats.org/officeDocument/2006/relationships/hyperlink" Target="https://tpchd.org/healthy-places/food-safety/food-worker-card/manual/" TargetMode="External"/><Relationship Id="rId35" Type="http://schemas.openxmlformats.org/officeDocument/2006/relationships/theme" Target="theme/theme1.xml"/><Relationship Id="rId8" Type="http://schemas.openxmlformats.org/officeDocument/2006/relationships/hyperlink" Target="https://tpchd.org/healthy-places/food-safety/existing-food-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1430</Words>
  <Characters>8152</Characters>
  <Application>Microsoft Office Word</Application>
  <DocSecurity>0</DocSecurity>
  <Lines>67</Lines>
  <Paragraphs>19</Paragraphs>
  <ScaleCrop>false</ScaleCrop>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2</cp:revision>
  <dcterms:created xsi:type="dcterms:W3CDTF">2024-11-05T10:35:00Z</dcterms:created>
  <dcterms:modified xsi:type="dcterms:W3CDTF">2024-11-05T10:36:00Z</dcterms:modified>
</cp:coreProperties>
</file>