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E3A5F"/>
          <w:sz w:val="52"/>
        </w:rPr>
        <w:t>AI INTERVIEW PLATFORM</w:t>
      </w:r>
    </w:p>
    <w:p>
      <w:pPr>
        <w:spacing w:after="80"/>
        <w:jc w:val="center"/>
      </w:pPr>
      <w:r>
        <w:rPr>
          <w:b w:val="0"/>
          <w:i/>
          <w:color w:val="2E75B6"/>
          <w:sz w:val="28"/>
        </w:rPr>
        <w:t>Business Overview &amp; Stakeholder Briefing Document</w:t>
      </w:r>
    </w:p>
    <w:p>
      <w:pPr>
        <w:spacing w:after="40"/>
        <w:jc w:val="center"/>
      </w:pPr>
      <w:r>
        <w:rPr>
          <w:color w:val="606060"/>
          <w:sz w:val="20"/>
        </w:rPr>
        <w:t>Prepared for: Business Development &amp; Key Stakeholders</w:t>
      </w:r>
    </w:p>
    <w:p>
      <w:pPr>
        <w:spacing w:after="480"/>
        <w:jc w:val="center"/>
      </w:pPr>
      <w:r>
        <w:rPr>
          <w:color w:val="606060"/>
          <w:sz w:val="20"/>
        </w:rPr>
        <w:t>April 2026  |  Confidential</w:t>
      </w:r>
    </w:p>
    <w:p>
      <w:pPr>
        <w:spacing w:after="360"/>
        <w:pBdr>
          <w:bottom w:val="single" w:sz="6" w:space="1" w:color="1E3A5F"/>
        </w:pBdr>
      </w:pPr>
    </w:p>
    <w:p>
      <w:pPr>
        <w:spacing w:before="280" w:after="120"/>
        <w:pBdr>
          <w:bottom w:val="single" w:sz="12" w:space="1" w:color="2E75B6"/>
        </w:pBdr>
      </w:pPr>
      <w:r>
        <w:rPr>
          <w:b/>
          <w:color w:val="1E3A5F"/>
          <w:sz w:val="32"/>
        </w:rPr>
        <w:t>1.  EXECUTIVE SUMMARY</w:t>
      </w:r>
    </w:p>
    <w:p>
      <w:pPr>
        <w:spacing w:before="0" w:after="160"/>
        <w:jc w:val="left"/>
      </w:pPr>
      <w:r>
        <w:rPr>
          <w:b w:val="0"/>
          <w:i w:val="0"/>
          <w:color w:val="44546E"/>
          <w:sz w:val="22"/>
        </w:rPr>
        <w:t>The AI Interview Platform is a next-generation, web-based mock interview solution that harnesses the power of Artificial Intelligence to help job seekers practice, improve, and build confidence before their real interviews. The platform simulates authentic interview scenarios — complete with dynamic follow-up questions, voice interaction, and live video analysis — and then delivers a detailed, personalised scorecard the moment the session ends.</w:t>
      </w:r>
    </w:p>
    <w:p>
      <w:pPr>
        <w:spacing w:before="0" w:after="160"/>
        <w:jc w:val="left"/>
      </w:pPr>
      <w:r>
        <w:rPr>
          <w:b w:val="0"/>
          <w:i w:val="0"/>
          <w:color w:val="44546E"/>
          <w:sz w:val="22"/>
        </w:rPr>
        <w:t>The product is fully built, deployed, and ready for commercial engagement. It addresses a large, underserved gap in the talent-preparation market and can be positioned to HR technology companies, staffing agencies, universities, corporate L&amp;D departments, and direct-to-consumer subscription audiences.</w:t>
      </w:r>
    </w:p>
    <w:p>
      <w:pPr>
        <w:spacing w:before="280" w:after="120"/>
        <w:pBdr>
          <w:bottom w:val="single" w:sz="12" w:space="1" w:color="2E75B6"/>
        </w:pBdr>
      </w:pPr>
      <w:r>
        <w:rPr>
          <w:b/>
          <w:color w:val="1E3A5F"/>
          <w:sz w:val="32"/>
        </w:rPr>
        <w:t>2.  THE PROBLEM WE SOLVE</w:t>
      </w:r>
    </w:p>
    <w:p>
      <w:pPr>
        <w:spacing w:before="0" w:after="120"/>
        <w:jc w:val="left"/>
      </w:pPr>
      <w:r>
        <w:rPr>
          <w:b w:val="0"/>
          <w:i w:val="0"/>
          <w:color w:val="44546E"/>
          <w:sz w:val="22"/>
        </w:rPr>
        <w:t>Interviews are high-stakes moments, yet most candidates receive virtually no structured practice before sitting down with a real hiring panel. Traditional preparation methods — mock interviews with friends, expensive career coaches, or generic YouTube videos — are inconsistent, subjective, and rarely available on demand. This leads to three compounding issues:</w:t>
      </w:r>
    </w:p>
    <w:p>
      <w:pPr>
        <w:pStyle w:val="ListBullet"/>
        <w:spacing w:after="60"/>
      </w:pPr>
      <w:r>
        <w:rPr>
          <w:color w:val="44546E"/>
          <w:sz w:val="22"/>
        </w:rPr>
        <w:t>Lack of realistic, pressure-tested practice: Friends cannot replicate the unpredictability of a real interviewer.</w:t>
      </w:r>
    </w:p>
    <w:p>
      <w:pPr>
        <w:pStyle w:val="ListBullet"/>
        <w:spacing w:after="60"/>
      </w:pPr>
      <w:r>
        <w:rPr>
          <w:color w:val="44546E"/>
          <w:sz w:val="22"/>
        </w:rPr>
        <w:t>No objective feedback: Candidates never know how they are truly perceived on body language, clarity, or technical accuracy.</w:t>
      </w:r>
    </w:p>
    <w:p>
      <w:pPr>
        <w:pStyle w:val="ListBullet"/>
        <w:spacing w:after="60"/>
      </w:pPr>
      <w:r>
        <w:rPr>
          <w:color w:val="44546E"/>
          <w:sz w:val="22"/>
        </w:rPr>
        <w:t>High cost of coaching: Professional interview coaching can run $150–$500 per session, making it inaccessible to the majority of the workforce.</w:t>
      </w:r>
    </w:p>
    <w:p>
      <w:pPr>
        <w:spacing w:before="160" w:after="120"/>
        <w:jc w:val="left"/>
      </w:pPr>
      <w:r>
        <w:rPr>
          <w:b w:val="0"/>
          <w:i w:val="0"/>
          <w:color w:val="44546E"/>
          <w:sz w:val="22"/>
        </w:rPr>
        <w:t>Our platform eliminates all three barriers by offering unlimited, AI-powered, on-demand practice that is both rigorous and affordable.</w:t>
      </w:r>
    </w:p>
    <w:p>
      <w:pPr>
        <w:spacing w:before="280" w:after="120"/>
        <w:pBdr>
          <w:bottom w:val="single" w:sz="12" w:space="1" w:color="2E75B6"/>
        </w:pBdr>
      </w:pPr>
      <w:r>
        <w:rPr>
          <w:b/>
          <w:color w:val="1E3A5F"/>
          <w:sz w:val="32"/>
        </w:rPr>
        <w:t>3.  WHAT THE PLATFORM DOES</w:t>
      </w:r>
    </w:p>
    <w:p>
      <w:pPr>
        <w:spacing w:before="0" w:after="160"/>
        <w:jc w:val="left"/>
      </w:pPr>
      <w:r>
        <w:rPr>
          <w:b w:val="0"/>
          <w:i w:val="0"/>
          <w:color w:val="44546E"/>
          <w:sz w:val="22"/>
        </w:rPr>
        <w:t>The platform delivers three complementary interview experiences under one roof, each supporting three professional interview categories:</w:t>
      </w:r>
    </w:p>
    <w:tbl>
      <w:tblPr>
        <w:tblStyle w:val="TableGrid"/>
        <w:tblW w:type="auto" w:w="0"/>
        <w:tblLook w:firstColumn="1" w:firstRow="1" w:lastColumn="0" w:lastRow="0" w:noHBand="0" w:noVBand="1" w:val="04A0"/>
      </w:tblPr>
      <w:tblGrid>
        <w:gridCol w:w="3120"/>
        <w:gridCol w:w="3120"/>
        <w:gridCol w:w="3120"/>
      </w:tblGrid>
      <w:tr>
        <w:tc>
          <w:tcPr>
            <w:tcW w:type="dxa" w:w="3120"/>
            <w:tcW w:w="3120" w:type="dxa"/>
            <w:shd w:val="clear" w:color="auto" w:fill="1E3A5F"/>
            <w:vAlign w:val="center"/>
          </w:tcPr>
          <w:p>
            <w:pPr>
              <w:jc w:val="center"/>
            </w:pPr>
            <w:r>
              <w:rPr>
                <w:b/>
                <w:color w:val="FFFFFF"/>
                <w:sz w:val="22"/>
              </w:rPr>
              <w:t>Interview Mode</w:t>
            </w:r>
          </w:p>
        </w:tc>
        <w:tc>
          <w:tcPr>
            <w:tcW w:type="dxa" w:w="3120"/>
            <w:tcW w:w="3120" w:type="dxa"/>
            <w:shd w:val="clear" w:color="auto" w:fill="1E3A5F"/>
            <w:vAlign w:val="center"/>
          </w:tcPr>
          <w:p>
            <w:pPr>
              <w:jc w:val="center"/>
            </w:pPr>
            <w:r>
              <w:rPr>
                <w:b/>
                <w:color w:val="FFFFFF"/>
                <w:sz w:val="22"/>
              </w:rPr>
              <w:t>Interview Categories</w:t>
            </w:r>
          </w:p>
        </w:tc>
        <w:tc>
          <w:tcPr>
            <w:tcW w:type="dxa" w:w="3120"/>
            <w:tcW w:w="3120" w:type="dxa"/>
            <w:shd w:val="clear" w:color="auto" w:fill="1E3A5F"/>
            <w:vAlign w:val="center"/>
          </w:tcPr>
          <w:p>
            <w:pPr>
              <w:jc w:val="center"/>
            </w:pPr>
            <w:r>
              <w:rPr>
                <w:b/>
                <w:color w:val="FFFFFF"/>
                <w:sz w:val="22"/>
              </w:rPr>
              <w:t>Key Capabilities</w:t>
            </w:r>
          </w:p>
        </w:tc>
      </w:tr>
      <w:tr>
        <w:tc>
          <w:tcPr>
            <w:tcW w:type="dxa" w:w="3120"/>
            <w:shd w:val="clear" w:color="auto" w:fill="FFFFFF"/>
          </w:tcPr>
          <w:p>
            <w:pPr>
              <w:jc w:val="left"/>
            </w:pPr>
            <w:r>
              <w:rPr>
                <w:b/>
                <w:color w:val="1E3A5F"/>
                <w:sz w:val="21"/>
              </w:rPr>
              <w:t>Text Interview</w:t>
            </w:r>
          </w:p>
        </w:tc>
        <w:tc>
          <w:tcPr>
            <w:tcW w:type="dxa" w:w="3120"/>
            <w:shd w:val="clear" w:color="auto" w:fill="FFFFFF"/>
          </w:tcPr>
          <w:p>
            <w:pPr>
              <w:jc w:val="left"/>
            </w:pPr>
            <w:r>
              <w:rPr>
                <w:color w:val="44546E"/>
                <w:sz w:val="21"/>
              </w:rPr>
              <w:t>Technical</w:t>
            </w:r>
          </w:p>
        </w:tc>
        <w:tc>
          <w:tcPr>
            <w:tcW w:type="dxa" w:w="3120"/>
            <w:shd w:val="clear" w:color="auto" w:fill="FFFFFF"/>
          </w:tcPr>
          <w:p>
            <w:pPr>
              <w:jc w:val="left"/>
            </w:pPr>
            <w:r>
              <w:rPr>
                <w:color w:val="44546E"/>
                <w:sz w:val="21"/>
              </w:rPr>
              <w:t>Type your answers to AI-generated questions. Fast, focused, distraction-free.</w:t>
            </w:r>
          </w:p>
        </w:tc>
      </w:tr>
      <w:tr>
        <w:tc>
          <w:tcPr>
            <w:tcW w:type="dxa" w:w="3120"/>
            <w:shd w:val="clear" w:color="auto" w:fill="F0F4F8"/>
          </w:tcPr>
          <w:p>
            <w:pPr>
              <w:jc w:val="left"/>
            </w:pPr>
            <w:r>
              <w:rPr>
                <w:b/>
                <w:color w:val="1E3A5F"/>
                <w:sz w:val="21"/>
              </w:rPr>
              <w:t>Voice Interview</w:t>
            </w:r>
          </w:p>
        </w:tc>
        <w:tc>
          <w:tcPr>
            <w:tcW w:type="dxa" w:w="3120"/>
            <w:shd w:val="clear" w:color="auto" w:fill="F0F4F8"/>
          </w:tcPr>
          <w:p>
            <w:pPr>
              <w:jc w:val="left"/>
            </w:pPr>
            <w:r>
              <w:rPr>
                <w:color w:val="44546E"/>
                <w:sz w:val="21"/>
              </w:rPr>
              <w:t>HR</w:t>
            </w:r>
          </w:p>
        </w:tc>
        <w:tc>
          <w:tcPr>
            <w:tcW w:type="dxa" w:w="3120"/>
            <w:shd w:val="clear" w:color="auto" w:fill="F0F4F8"/>
          </w:tcPr>
          <w:p>
            <w:pPr>
              <w:jc w:val="left"/>
            </w:pPr>
            <w:r>
              <w:rPr>
                <w:color w:val="44546E"/>
                <w:sz w:val="21"/>
              </w:rPr>
              <w:t>Speak your answers using the browser microphone. AI transcribes and evaluates clarity &amp; fluency.</w:t>
            </w:r>
          </w:p>
        </w:tc>
      </w:tr>
      <w:tr>
        <w:tc>
          <w:tcPr>
            <w:tcW w:type="dxa" w:w="3120"/>
            <w:shd w:val="clear" w:color="auto" w:fill="FFFFFF"/>
          </w:tcPr>
          <w:p>
            <w:pPr>
              <w:jc w:val="left"/>
            </w:pPr>
            <w:r>
              <w:rPr>
                <w:b/>
                <w:color w:val="1E3A5F"/>
                <w:sz w:val="21"/>
              </w:rPr>
              <w:t>Video Interview</w:t>
            </w:r>
          </w:p>
        </w:tc>
        <w:tc>
          <w:tcPr>
            <w:tcW w:type="dxa" w:w="3120"/>
            <w:shd w:val="clear" w:color="auto" w:fill="FFFFFF"/>
          </w:tcPr>
          <w:p>
            <w:pPr>
              <w:jc w:val="left"/>
            </w:pPr>
            <w:r>
              <w:rPr>
                <w:color w:val="44546E"/>
                <w:sz w:val="21"/>
              </w:rPr>
              <w:t>Managerial</w:t>
            </w:r>
          </w:p>
        </w:tc>
        <w:tc>
          <w:tcPr>
            <w:tcW w:type="dxa" w:w="3120"/>
            <w:shd w:val="clear" w:color="auto" w:fill="FFFFFF"/>
          </w:tcPr>
          <w:p>
            <w:pPr>
              <w:jc w:val="left"/>
            </w:pPr>
            <w:r>
              <w:rPr>
                <w:color w:val="44546E"/>
                <w:sz w:val="21"/>
              </w:rPr>
              <w:t>Full camera-on experience. AI analyses facial expressions, eye contact, and engagement in real time.</w:t>
            </w:r>
          </w:p>
        </w:tc>
      </w:tr>
    </w:tbl>
    <w:p>
      <w:pPr>
        <w:spacing w:after="80"/>
      </w:pPr>
    </w:p>
    <w:p>
      <w:pPr>
        <w:spacing w:before="0" w:after="240"/>
        <w:jc w:val="left"/>
      </w:pPr>
      <w:r>
        <w:rPr>
          <w:b w:val="0"/>
          <w:i/>
          <w:color w:val="44546E"/>
          <w:sz w:val="22"/>
        </w:rPr>
        <w:t>All three categories — Technical, HR, and Managerial — are available across all three modes.</w:t>
      </w:r>
    </w:p>
    <w:p>
      <w:pPr>
        <w:spacing w:before="280" w:after="120"/>
        <w:pBdr>
          <w:bottom w:val="single" w:sz="12" w:space="1" w:color="2E75B6"/>
        </w:pBdr>
      </w:pPr>
      <w:r>
        <w:rPr>
          <w:b/>
          <w:color w:val="1E3A5F"/>
          <w:sz w:val="32"/>
        </w:rPr>
        <w:t>4.  HOW IT WORKS — USER JOURNEY</w:t>
      </w:r>
    </w:p>
    <w:p>
      <w:pPr>
        <w:spacing w:before="200" w:after="80"/>
      </w:pPr>
      <w:r>
        <w:rPr>
          <w:b/>
          <w:color w:val="2E75B6"/>
          <w:sz w:val="26"/>
        </w:rPr>
        <w:t>Step 1 — Choose Your Interview</w:t>
      </w:r>
    </w:p>
    <w:p>
      <w:pPr>
        <w:spacing w:before="0" w:after="120"/>
        <w:jc w:val="left"/>
      </w:pPr>
      <w:r>
        <w:rPr>
          <w:b w:val="0"/>
          <w:i w:val="0"/>
          <w:color w:val="44546E"/>
          <w:sz w:val="22"/>
        </w:rPr>
        <w:t>The user lands on the homepage and selects an interview type (Technical, HR, or Managerial) and a format (Text, Voice, or Video). No sign-up is required to start.</w:t>
      </w:r>
    </w:p>
    <w:p>
      <w:pPr>
        <w:spacing w:before="200" w:after="80"/>
      </w:pPr>
      <w:r>
        <w:rPr>
          <w:b/>
          <w:color w:val="2E75B6"/>
          <w:sz w:val="26"/>
        </w:rPr>
        <w:t>Step 2 — The AI Takes the Role of Interviewer</w:t>
      </w:r>
    </w:p>
    <w:p>
      <w:pPr>
        <w:spacing w:before="0" w:after="120"/>
        <w:jc w:val="left"/>
      </w:pPr>
      <w:r>
        <w:rPr>
          <w:b w:val="0"/>
          <w:i w:val="0"/>
          <w:color w:val="44546E"/>
          <w:sz w:val="22"/>
        </w:rPr>
        <w:t>The AI begins the session with a context-appropriate opening and then cycles through five dynamically generated questions tailored to the selected category. Questions adapt to the conversation — just like a real interviewer would.</w:t>
      </w:r>
    </w:p>
    <w:p>
      <w:pPr>
        <w:spacing w:before="200" w:after="80"/>
      </w:pPr>
      <w:r>
        <w:rPr>
          <w:b/>
          <w:color w:val="2E75B6"/>
          <w:sz w:val="26"/>
        </w:rPr>
        <w:t>Step 3 — Candidate Responds</w:t>
      </w:r>
    </w:p>
    <w:p>
      <w:pPr>
        <w:spacing w:before="0" w:after="120"/>
        <w:jc w:val="left"/>
      </w:pPr>
      <w:r>
        <w:rPr>
          <w:b w:val="0"/>
          <w:i w:val="0"/>
          <w:color w:val="44546E"/>
          <w:sz w:val="22"/>
        </w:rPr>
        <w:t>In Text mode the candidate types responses. In Voice mode they speak naturally and the platform transcribes speech in real time. In Video mode the webcam activates and the AI simultaneously tracks facial engagement and eye contact while listening to the answer.</w:t>
      </w:r>
    </w:p>
    <w:p>
      <w:pPr>
        <w:spacing w:before="200" w:after="80"/>
      </w:pPr>
      <w:r>
        <w:rPr>
          <w:b/>
          <w:color w:val="2E75B6"/>
          <w:sz w:val="26"/>
        </w:rPr>
        <w:t>Step 4 — Reverse Q&amp;A</w:t>
      </w:r>
    </w:p>
    <w:p>
      <w:pPr>
        <w:spacing w:before="0" w:after="120"/>
        <w:jc w:val="left"/>
      </w:pPr>
      <w:r>
        <w:rPr>
          <w:b w:val="0"/>
          <w:i w:val="0"/>
          <w:color w:val="44546E"/>
          <w:sz w:val="22"/>
        </w:rPr>
        <w:t>After the fifth question the AI flips the dynamic and invites the candidate to ask their own questions — mirroring the final stage of a real interview.</w:t>
      </w:r>
    </w:p>
    <w:p>
      <w:pPr>
        <w:spacing w:before="200" w:after="80"/>
      </w:pPr>
      <w:r>
        <w:rPr>
          <w:b/>
          <w:color w:val="2E75B6"/>
          <w:sz w:val="26"/>
        </w:rPr>
        <w:t>Step 5 — Post-Interview Report</w:t>
      </w:r>
    </w:p>
    <w:p>
      <w:pPr>
        <w:spacing w:before="0" w:after="120"/>
        <w:jc w:val="left"/>
      </w:pPr>
      <w:r>
        <w:rPr>
          <w:b w:val="0"/>
          <w:i w:val="0"/>
          <w:color w:val="44546E"/>
          <w:sz w:val="22"/>
        </w:rPr>
        <w:t>When the session concludes, the full transcript (plus any video metrics) is analysed by the AI engine. Within seconds, a structured scorecard is generated covering Communication, Technical Accuracy, Body Language, Confidence, and Improvement Recommendations.</w:t>
      </w:r>
    </w:p>
    <w:p>
      <w:pPr>
        <w:spacing w:before="280" w:after="120"/>
        <w:pBdr>
          <w:bottom w:val="single" w:sz="12" w:space="1" w:color="2E75B6"/>
        </w:pBdr>
      </w:pPr>
      <w:r>
        <w:rPr>
          <w:b/>
          <w:color w:val="1E3A5F"/>
          <w:sz w:val="32"/>
        </w:rPr>
        <w:t>5.  KEY DIFFERENTIATORS</w:t>
      </w:r>
    </w:p>
    <w:p>
      <w:pPr>
        <w:spacing w:before="0" w:after="160"/>
        <w:jc w:val="left"/>
      </w:pPr>
      <w:r>
        <w:rPr>
          <w:b w:val="0"/>
          <w:i w:val="0"/>
          <w:color w:val="44546E"/>
          <w:sz w:val="22"/>
        </w:rPr>
        <w:t>Below is a comparison of how our platform stacks up against the most common alternatives available to candidates today: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W w:w="2340" w:type="dxa"/>
            <w:shd w:val="clear" w:color="auto" w:fill="1E3A5F"/>
          </w:tcPr>
          <w:p>
            <w:pPr>
              <w:jc w:val="center"/>
            </w:pPr>
            <w:r>
              <w:rPr>
                <w:b/>
                <w:color w:val="FFFFFF"/>
                <w:sz w:val="20"/>
              </w:rPr>
              <w:t>Feature</w:t>
            </w:r>
          </w:p>
        </w:tc>
        <w:tc>
          <w:tcPr>
            <w:tcW w:type="dxa" w:w="1872"/>
            <w:tcW w:w="1755" w:type="dxa"/>
            <w:shd w:val="clear" w:color="auto" w:fill="1E3A5F"/>
          </w:tcPr>
          <w:p>
            <w:pPr>
              <w:jc w:val="center"/>
            </w:pPr>
            <w:r>
              <w:rPr>
                <w:b/>
                <w:color w:val="FFFFFF"/>
                <w:sz w:val="20"/>
              </w:rPr>
              <w:t>Our Platform</w:t>
            </w:r>
          </w:p>
        </w:tc>
        <w:tc>
          <w:tcPr>
            <w:tcW w:type="dxa" w:w="1872"/>
            <w:tcW w:w="1755" w:type="dxa"/>
            <w:shd w:val="clear" w:color="auto" w:fill="1E3A5F"/>
          </w:tcPr>
          <w:p>
            <w:pPr>
              <w:jc w:val="center"/>
            </w:pPr>
            <w:r>
              <w:rPr>
                <w:b/>
                <w:color w:val="FFFFFF"/>
                <w:sz w:val="20"/>
              </w:rPr>
              <w:t>Career Coach</w:t>
            </w:r>
          </w:p>
        </w:tc>
        <w:tc>
          <w:tcPr>
            <w:tcW w:type="dxa" w:w="1872"/>
            <w:tcW w:w="1755" w:type="dxa"/>
            <w:shd w:val="clear" w:color="auto" w:fill="1E3A5F"/>
          </w:tcPr>
          <w:p>
            <w:pPr>
              <w:jc w:val="center"/>
            </w:pPr>
            <w:r>
              <w:rPr>
                <w:b/>
                <w:color w:val="FFFFFF"/>
                <w:sz w:val="20"/>
              </w:rPr>
              <w:t>Mock with Friends</w:t>
            </w:r>
          </w:p>
        </w:tc>
        <w:tc>
          <w:tcPr>
            <w:tcW w:type="dxa" w:w="1872"/>
            <w:tcW w:w="1755" w:type="dxa"/>
            <w:shd w:val="clear" w:color="auto" w:fill="1E3A5F"/>
          </w:tcPr>
          <w:p>
            <w:pPr>
              <w:jc w:val="center"/>
            </w:pPr>
            <w:r>
              <w:rPr>
                <w:b/>
                <w:color w:val="FFFFFF"/>
                <w:sz w:val="20"/>
              </w:rPr>
              <w:t>Generic Videos</w:t>
            </w:r>
          </w:p>
        </w:tc>
      </w:tr>
      <w:tr>
        <w:tc>
          <w:tcPr>
            <w:tcW w:type="dxa" w:w="1872"/>
            <w:shd w:val="clear" w:color="auto" w:fill="F0F4F8"/>
          </w:tcPr>
          <w:p>
            <w:pPr>
              <w:jc w:val="left"/>
            </w:pPr>
            <w:r>
              <w:rPr>
                <w:b/>
                <w:color w:val="1E3A5F"/>
                <w:sz w:val="20"/>
              </w:rPr>
              <w:t>Available 24/7</w:t>
            </w:r>
          </w:p>
        </w:tc>
        <w:tc>
          <w:tcPr>
            <w:tcW w:type="dxa" w:w="1872"/>
            <w:shd w:val="clear" w:color="auto" w:fill="F0F4F8"/>
          </w:tcPr>
          <w:p>
            <w:pPr>
              <w:jc w:val="center"/>
            </w:pPr>
            <w:r>
              <w:rPr>
                <w:b/>
                <w:color w:val="107C10"/>
                <w:sz w:val="20"/>
              </w:rPr>
              <w:t>Yes</w:t>
            </w:r>
          </w:p>
        </w:tc>
        <w:tc>
          <w:tcPr>
            <w:tcW w:type="dxa" w:w="1872"/>
            <w:shd w:val="clear" w:color="auto" w:fill="F0F4F8"/>
          </w:tcPr>
          <w:p>
            <w:pPr>
              <w:jc w:val="center"/>
            </w:pPr>
            <w:r>
              <w:rPr>
                <w:color w:val="C00000"/>
                <w:sz w:val="20"/>
              </w:rPr>
              <w:t>No</w:t>
            </w:r>
          </w:p>
        </w:tc>
        <w:tc>
          <w:tcPr>
            <w:tcW w:type="dxa" w:w="1872"/>
            <w:shd w:val="clear" w:color="auto" w:fill="F0F4F8"/>
          </w:tcPr>
          <w:p>
            <w:pPr>
              <w:jc w:val="center"/>
            </w:pPr>
            <w:r>
              <w:rPr>
                <w:color w:val="BF8F00"/>
                <w:sz w:val="20"/>
              </w:rPr>
              <w:t>Rarely</w:t>
            </w:r>
          </w:p>
        </w:tc>
        <w:tc>
          <w:tcPr>
            <w:tcW w:type="dxa" w:w="1872"/>
            <w:shd w:val="clear" w:color="auto" w:fill="F0F4F8"/>
          </w:tcPr>
          <w:p>
            <w:pPr>
              <w:jc w:val="center"/>
            </w:pPr>
            <w:r>
              <w:rPr>
                <w:b/>
                <w:color w:val="107C10"/>
                <w:sz w:val="20"/>
              </w:rPr>
              <w:t>Yes</w:t>
            </w:r>
          </w:p>
        </w:tc>
      </w:tr>
      <w:tr>
        <w:tc>
          <w:tcPr>
            <w:tcW w:type="dxa" w:w="1872"/>
            <w:shd w:val="clear" w:color="auto" w:fill="FFFFFF"/>
          </w:tcPr>
          <w:p>
            <w:pPr>
              <w:jc w:val="left"/>
            </w:pPr>
            <w:r>
              <w:rPr>
                <w:b/>
                <w:color w:val="1E3A5F"/>
                <w:sz w:val="20"/>
              </w:rPr>
              <w:t>Objective AI Scoring</w:t>
            </w:r>
          </w:p>
        </w:tc>
        <w:tc>
          <w:tcPr>
            <w:tcW w:type="dxa" w:w="1872"/>
            <w:shd w:val="clear" w:color="auto" w:fill="FFFFFF"/>
          </w:tcPr>
          <w:p>
            <w:pPr>
              <w:jc w:val="center"/>
            </w:pPr>
            <w:r>
              <w:rPr>
                <w:b/>
                <w:color w:val="107C10"/>
                <w:sz w:val="20"/>
              </w:rPr>
              <w:t>Yes</w:t>
            </w:r>
          </w:p>
        </w:tc>
        <w:tc>
          <w:tcPr>
            <w:tcW w:type="dxa" w:w="1872"/>
            <w:shd w:val="clear" w:color="auto" w:fill="FFFFFF"/>
          </w:tcPr>
          <w:p>
            <w:pPr>
              <w:jc w:val="center"/>
            </w:pPr>
            <w:r>
              <w:rPr>
                <w:color w:val="C00000"/>
                <w:sz w:val="20"/>
              </w:rPr>
              <w:t>No</w:t>
            </w:r>
          </w:p>
        </w:tc>
        <w:tc>
          <w:tcPr>
            <w:tcW w:type="dxa" w:w="1872"/>
            <w:shd w:val="clear" w:color="auto" w:fill="FFFFFF"/>
          </w:tcPr>
          <w:p>
            <w:pPr>
              <w:jc w:val="center"/>
            </w:pPr>
            <w:r>
              <w:rPr>
                <w:color w:val="C00000"/>
                <w:sz w:val="20"/>
              </w:rPr>
              <w:t>No</w:t>
            </w:r>
          </w:p>
        </w:tc>
        <w:tc>
          <w:tcPr>
            <w:tcW w:type="dxa" w:w="1872"/>
            <w:shd w:val="clear" w:color="auto" w:fill="FFFFFF"/>
          </w:tcPr>
          <w:p>
            <w:pPr>
              <w:jc w:val="center"/>
            </w:pPr>
            <w:r>
              <w:rPr>
                <w:color w:val="C00000"/>
                <w:sz w:val="20"/>
              </w:rPr>
              <w:t>No</w:t>
            </w:r>
          </w:p>
        </w:tc>
      </w:tr>
      <w:tr>
        <w:tc>
          <w:tcPr>
            <w:tcW w:type="dxa" w:w="1872"/>
            <w:shd w:val="clear" w:color="auto" w:fill="F0F4F8"/>
          </w:tcPr>
          <w:p>
            <w:pPr>
              <w:jc w:val="left"/>
            </w:pPr>
            <w:r>
              <w:rPr>
                <w:b/>
                <w:color w:val="1E3A5F"/>
                <w:sz w:val="20"/>
              </w:rPr>
              <w:t>Video / Body Language</w:t>
            </w:r>
          </w:p>
        </w:tc>
        <w:tc>
          <w:tcPr>
            <w:tcW w:type="dxa" w:w="1872"/>
            <w:shd w:val="clear" w:color="auto" w:fill="F0F4F8"/>
          </w:tcPr>
          <w:p>
            <w:pPr>
              <w:jc w:val="center"/>
            </w:pPr>
            <w:r>
              <w:rPr>
                <w:b/>
                <w:color w:val="107C10"/>
                <w:sz w:val="20"/>
              </w:rPr>
              <w:t>Yes</w:t>
            </w:r>
          </w:p>
        </w:tc>
        <w:tc>
          <w:tcPr>
            <w:tcW w:type="dxa" w:w="1872"/>
            <w:shd w:val="clear" w:color="auto" w:fill="F0F4F8"/>
          </w:tcPr>
          <w:p>
            <w:pPr>
              <w:jc w:val="center"/>
            </w:pPr>
            <w:r>
              <w:rPr>
                <w:color w:val="C00000"/>
                <w:sz w:val="20"/>
              </w:rPr>
              <w:t>No</w:t>
            </w:r>
          </w:p>
        </w:tc>
        <w:tc>
          <w:tcPr>
            <w:tcW w:type="dxa" w:w="1872"/>
            <w:shd w:val="clear" w:color="auto" w:fill="F0F4F8"/>
          </w:tcPr>
          <w:p>
            <w:pPr>
              <w:jc w:val="center"/>
            </w:pPr>
            <w:r>
              <w:rPr>
                <w:color w:val="C00000"/>
                <w:sz w:val="20"/>
              </w:rPr>
              <w:t>No</w:t>
            </w:r>
          </w:p>
        </w:tc>
        <w:tc>
          <w:tcPr>
            <w:tcW w:type="dxa" w:w="1872"/>
            <w:shd w:val="clear" w:color="auto" w:fill="F0F4F8"/>
          </w:tcPr>
          <w:p>
            <w:pPr>
              <w:jc w:val="center"/>
            </w:pPr>
            <w:r>
              <w:rPr>
                <w:color w:val="C00000"/>
                <w:sz w:val="20"/>
              </w:rPr>
              <w:t>No</w:t>
            </w:r>
          </w:p>
        </w:tc>
      </w:tr>
      <w:tr>
        <w:tc>
          <w:tcPr>
            <w:tcW w:type="dxa" w:w="1872"/>
            <w:shd w:val="clear" w:color="auto" w:fill="FFFFFF"/>
          </w:tcPr>
          <w:p>
            <w:pPr>
              <w:jc w:val="left"/>
            </w:pPr>
            <w:r>
              <w:rPr>
                <w:b/>
                <w:color w:val="1E3A5F"/>
                <w:sz w:val="20"/>
              </w:rPr>
              <w:t>Unlimited Practice</w:t>
            </w:r>
          </w:p>
        </w:tc>
        <w:tc>
          <w:tcPr>
            <w:tcW w:type="dxa" w:w="1872"/>
            <w:shd w:val="clear" w:color="auto" w:fill="FFFFFF"/>
          </w:tcPr>
          <w:p>
            <w:pPr>
              <w:jc w:val="center"/>
            </w:pPr>
            <w:r>
              <w:rPr>
                <w:b/>
                <w:color w:val="107C10"/>
                <w:sz w:val="20"/>
              </w:rPr>
              <w:t>Yes</w:t>
            </w:r>
          </w:p>
        </w:tc>
        <w:tc>
          <w:tcPr>
            <w:tcW w:type="dxa" w:w="1872"/>
            <w:shd w:val="clear" w:color="auto" w:fill="FFFFFF"/>
          </w:tcPr>
          <w:p>
            <w:pPr>
              <w:jc w:val="center"/>
            </w:pPr>
            <w:r>
              <w:rPr>
                <w:color w:val="C00000"/>
                <w:sz w:val="20"/>
              </w:rPr>
              <w:t>No</w:t>
            </w:r>
          </w:p>
        </w:tc>
        <w:tc>
          <w:tcPr>
            <w:tcW w:type="dxa" w:w="1872"/>
            <w:shd w:val="clear" w:color="auto" w:fill="FFFFFF"/>
          </w:tcPr>
          <w:p>
            <w:pPr>
              <w:jc w:val="center"/>
            </w:pPr>
            <w:r>
              <w:rPr>
                <w:color w:val="BF8F00"/>
                <w:sz w:val="20"/>
              </w:rPr>
              <w:t>Limited</w:t>
            </w:r>
          </w:p>
        </w:tc>
        <w:tc>
          <w:tcPr>
            <w:tcW w:type="dxa" w:w="1872"/>
            <w:shd w:val="clear" w:color="auto" w:fill="FFFFFF"/>
          </w:tcPr>
          <w:p>
            <w:pPr>
              <w:jc w:val="center"/>
            </w:pPr>
            <w:r>
              <w:rPr>
                <w:b/>
                <w:color w:val="107C10"/>
                <w:sz w:val="20"/>
              </w:rPr>
              <w:t>Yes</w:t>
            </w:r>
          </w:p>
        </w:tc>
      </w:tr>
      <w:tr>
        <w:tc>
          <w:tcPr>
            <w:tcW w:type="dxa" w:w="1872"/>
            <w:shd w:val="clear" w:color="auto" w:fill="F0F4F8"/>
          </w:tcPr>
          <w:p>
            <w:pPr>
              <w:jc w:val="left"/>
            </w:pPr>
            <w:r>
              <w:rPr>
                <w:b/>
                <w:color w:val="1E3A5F"/>
                <w:sz w:val="20"/>
              </w:rPr>
              <w:t>Affordable / Free Tier</w:t>
            </w:r>
          </w:p>
        </w:tc>
        <w:tc>
          <w:tcPr>
            <w:tcW w:type="dxa" w:w="1872"/>
            <w:shd w:val="clear" w:color="auto" w:fill="F0F4F8"/>
          </w:tcPr>
          <w:p>
            <w:pPr>
              <w:jc w:val="center"/>
            </w:pPr>
            <w:r>
              <w:rPr>
                <w:b/>
                <w:color w:val="107C10"/>
                <w:sz w:val="20"/>
              </w:rPr>
              <w:t>Yes</w:t>
            </w:r>
          </w:p>
        </w:tc>
        <w:tc>
          <w:tcPr>
            <w:tcW w:type="dxa" w:w="1872"/>
            <w:shd w:val="clear" w:color="auto" w:fill="F0F4F8"/>
          </w:tcPr>
          <w:p>
            <w:pPr>
              <w:jc w:val="center"/>
            </w:pPr>
            <w:r>
              <w:rPr>
                <w:color w:val="C00000"/>
                <w:sz w:val="20"/>
              </w:rPr>
              <w:t>No</w:t>
            </w:r>
          </w:p>
        </w:tc>
        <w:tc>
          <w:tcPr>
            <w:tcW w:type="dxa" w:w="1872"/>
            <w:shd w:val="clear" w:color="auto" w:fill="F0F4F8"/>
          </w:tcPr>
          <w:p>
            <w:pPr>
              <w:jc w:val="center"/>
            </w:pPr>
            <w:r>
              <w:rPr>
                <w:b/>
                <w:color w:val="107C10"/>
                <w:sz w:val="20"/>
              </w:rPr>
              <w:t>Yes</w:t>
            </w:r>
          </w:p>
        </w:tc>
        <w:tc>
          <w:tcPr>
            <w:tcW w:type="dxa" w:w="1872"/>
            <w:shd w:val="clear" w:color="auto" w:fill="F0F4F8"/>
          </w:tcPr>
          <w:p>
            <w:pPr>
              <w:jc w:val="center"/>
            </w:pPr>
            <w:r>
              <w:rPr>
                <w:b/>
                <w:color w:val="107C10"/>
                <w:sz w:val="20"/>
              </w:rPr>
              <w:t>Yes</w:t>
            </w:r>
          </w:p>
        </w:tc>
      </w:tr>
      <w:tr>
        <w:tc>
          <w:tcPr>
            <w:tcW w:type="dxa" w:w="1872"/>
            <w:shd w:val="clear" w:color="auto" w:fill="FFFFFF"/>
          </w:tcPr>
          <w:p>
            <w:pPr>
              <w:jc w:val="left"/>
            </w:pPr>
            <w:r>
              <w:rPr>
                <w:b/>
                <w:color w:val="1E3A5F"/>
                <w:sz w:val="20"/>
              </w:rPr>
              <w:t>Personalised Feedback</w:t>
            </w:r>
          </w:p>
        </w:tc>
        <w:tc>
          <w:tcPr>
            <w:tcW w:type="dxa" w:w="1872"/>
            <w:shd w:val="clear" w:color="auto" w:fill="FFFFFF"/>
          </w:tcPr>
          <w:p>
            <w:pPr>
              <w:jc w:val="center"/>
            </w:pPr>
            <w:r>
              <w:rPr>
                <w:b/>
                <w:color w:val="107C10"/>
                <w:sz w:val="20"/>
              </w:rPr>
              <w:t>Yes</w:t>
            </w:r>
          </w:p>
        </w:tc>
        <w:tc>
          <w:tcPr>
            <w:tcW w:type="dxa" w:w="1872"/>
            <w:shd w:val="clear" w:color="auto" w:fill="FFFFFF"/>
          </w:tcPr>
          <w:p>
            <w:pPr>
              <w:jc w:val="center"/>
            </w:pPr>
            <w:r>
              <w:rPr>
                <w:b/>
                <w:color w:val="107C10"/>
                <w:sz w:val="20"/>
              </w:rPr>
              <w:t>Yes</w:t>
            </w:r>
          </w:p>
        </w:tc>
        <w:tc>
          <w:tcPr>
            <w:tcW w:type="dxa" w:w="1872"/>
            <w:shd w:val="clear" w:color="auto" w:fill="FFFFFF"/>
          </w:tcPr>
          <w:p>
            <w:pPr>
              <w:jc w:val="center"/>
            </w:pPr>
            <w:r>
              <w:rPr>
                <w:color w:val="BF8F00"/>
                <w:sz w:val="20"/>
              </w:rPr>
              <w:t>Partial</w:t>
            </w:r>
          </w:p>
        </w:tc>
        <w:tc>
          <w:tcPr>
            <w:tcW w:type="dxa" w:w="1872"/>
            <w:shd w:val="clear" w:color="auto" w:fill="FFFFFF"/>
          </w:tcPr>
          <w:p>
            <w:pPr>
              <w:jc w:val="center"/>
            </w:pPr>
            <w:r>
              <w:rPr>
                <w:color w:val="C00000"/>
                <w:sz w:val="20"/>
              </w:rPr>
              <w:t>No</w:t>
            </w:r>
          </w:p>
        </w:tc>
      </w:tr>
    </w:tbl>
    <w:p>
      <w:pPr>
        <w:spacing w:after="160"/>
      </w:pPr>
    </w:p>
    <w:p>
      <w:pPr>
        <w:spacing w:before="280" w:after="120"/>
        <w:pBdr>
          <w:bottom w:val="single" w:sz="12" w:space="1" w:color="2E75B6"/>
        </w:pBdr>
      </w:pPr>
      <w:r>
        <w:rPr>
          <w:b/>
          <w:color w:val="1E3A5F"/>
          <w:sz w:val="32"/>
        </w:rPr>
        <w:t>6.  TECHNOLOGY OVERVIEW (NON-TECHNICAL SUMMARY)</w:t>
      </w:r>
    </w:p>
    <w:p>
      <w:pPr>
        <w:spacing w:before="0" w:after="120"/>
        <w:jc w:val="left"/>
      </w:pPr>
      <w:r>
        <w:rPr>
          <w:b w:val="0"/>
          <w:i w:val="0"/>
          <w:color w:val="44546E"/>
          <w:sz w:val="22"/>
        </w:rPr>
        <w:t>The platform is built on modern, enterprise-grade web technology. Stakeholders do not need to understand the code — what matters is what the technology enables:</w:t>
      </w:r>
    </w:p>
    <w:p>
      <w:pPr>
        <w:spacing w:before="200" w:after="80"/>
      </w:pPr>
      <w:r>
        <w:rPr>
          <w:b/>
          <w:color w:val="2E75B6"/>
          <w:sz w:val="26"/>
        </w:rPr>
        <w:t>AI Engine</w:t>
      </w:r>
    </w:p>
    <w:p>
      <w:pPr>
        <w:spacing w:before="0" w:after="120"/>
        <w:jc w:val="left"/>
      </w:pPr>
      <w:r>
        <w:rPr>
          <w:b w:val="0"/>
          <w:i w:val="0"/>
          <w:color w:val="44546E"/>
          <w:sz w:val="22"/>
        </w:rPr>
        <w:t>Powered by Google Gemini (via LiteRouter), one of the most capable large language models available today. This is the same AI family behind Google's Bard and Gemini products. The AI understands context, adapts questions mid-conversation, and generates nuanced, human-quality interview feedback.</w:t>
      </w:r>
    </w:p>
    <w:p>
      <w:pPr>
        <w:spacing w:before="200" w:after="80"/>
      </w:pPr>
      <w:r>
        <w:rPr>
          <w:b/>
          <w:color w:val="2E75B6"/>
          <w:sz w:val="26"/>
        </w:rPr>
        <w:t>Video &amp; Facial Analysis</w:t>
      </w:r>
    </w:p>
    <w:p>
      <w:pPr>
        <w:spacing w:before="0" w:after="120"/>
        <w:jc w:val="left"/>
      </w:pPr>
      <w:r>
        <w:rPr>
          <w:b w:val="0"/>
          <w:i w:val="0"/>
          <w:color w:val="44546E"/>
          <w:sz w:val="22"/>
        </w:rPr>
        <w:t>A privacy-first computer vision library (face-api.js) runs entirely on the candidate's own device — no video footage is ever transmitted to any server. It analyses facial landmarks and eye movement to score engagement and eye contact in real time.</w:t>
      </w:r>
    </w:p>
    <w:p>
      <w:pPr>
        <w:spacing w:before="200" w:after="80"/>
      </w:pPr>
      <w:r>
        <w:rPr>
          <w:b/>
          <w:color w:val="2E75B6"/>
          <w:sz w:val="26"/>
        </w:rPr>
        <w:t>Voice Recognition</w:t>
      </w:r>
    </w:p>
    <w:p>
      <w:pPr>
        <w:spacing w:before="0" w:after="120"/>
        <w:jc w:val="left"/>
      </w:pPr>
      <w:r>
        <w:rPr>
          <w:b w:val="0"/>
          <w:i w:val="0"/>
          <w:color w:val="44546E"/>
          <w:sz w:val="22"/>
        </w:rPr>
        <w:t>The platform uses the browser's built-in speech recognition (Web Speech API), selecting the most confident transcription to minimise errors — particularly important for technical terminology.</w:t>
      </w:r>
    </w:p>
    <w:p>
      <w:pPr>
        <w:spacing w:before="200" w:after="80"/>
      </w:pPr>
      <w:r>
        <w:rPr>
          <w:b/>
          <w:color w:val="2E75B6"/>
          <w:sz w:val="26"/>
        </w:rPr>
        <w:t>Deployment &amp; Reliability</w:t>
      </w:r>
    </w:p>
    <w:p>
      <w:pPr>
        <w:spacing w:before="0" w:after="120"/>
        <w:jc w:val="left"/>
      </w:pPr>
      <w:r>
        <w:rPr>
          <w:b w:val="0"/>
          <w:i w:val="0"/>
          <w:color w:val="44546E"/>
          <w:sz w:val="22"/>
        </w:rPr>
        <w:t>The application is deployed on Vercel, the same cloud infrastructure used by companies like Airbnb and The Washington Post. It offers 99.99% uptime and scales automatically.</w:t>
      </w:r>
    </w:p>
    <w:p>
      <w:pPr>
        <w:spacing w:before="200" w:after="80"/>
      </w:pPr>
      <w:r>
        <w:rPr>
          <w:b/>
          <w:color w:val="2E75B6"/>
          <w:sz w:val="26"/>
        </w:rPr>
        <w:t>Data &amp; Privacy</w:t>
      </w:r>
    </w:p>
    <w:p>
      <w:pPr>
        <w:spacing w:before="0" w:after="120"/>
        <w:jc w:val="left"/>
      </w:pPr>
      <w:r>
        <w:rPr>
          <w:b w:val="0"/>
          <w:i w:val="0"/>
          <w:color w:val="44546E"/>
          <w:sz w:val="22"/>
        </w:rPr>
        <w:t>Interview transcripts are stored as structured log files on the server. Video frames are never recorded or uploaded. The architecture is designed to be lightweight, portable, and easy to integrate with enterprise data pipelines.</w:t>
      </w:r>
    </w:p>
    <w:p>
      <w:pPr>
        <w:spacing w:before="280" w:after="120"/>
        <w:pBdr>
          <w:bottom w:val="single" w:sz="12" w:space="1" w:color="2E75B6"/>
        </w:pBdr>
      </w:pPr>
      <w:r>
        <w:rPr>
          <w:b/>
          <w:color w:val="1E3A5F"/>
          <w:sz w:val="32"/>
        </w:rPr>
        <w:t>7.  BUSINESS OPPORTUNITY &amp; TARGET USE CASES</w:t>
      </w:r>
    </w:p>
    <w:p>
      <w:pPr>
        <w:spacing w:before="0" w:after="160"/>
        <w:jc w:val="left"/>
      </w:pPr>
      <w:r>
        <w:rPr>
          <w:b w:val="0"/>
          <w:i w:val="0"/>
          <w:color w:val="44546E"/>
          <w:sz w:val="22"/>
        </w:rPr>
        <w:t>The global HR technology market exceeded $40 billion in 2024 and is growing at over 7% annually. AI-assisted hiring and talent development tools represent one of the fastest-growing sub-segments. Our platform is positioned to capture value across multiple channels:</w:t>
      </w:r>
    </w:p>
    <w:p>
      <w:pPr>
        <w:spacing w:before="200" w:after="80"/>
      </w:pPr>
      <w:r>
        <w:rPr>
          <w:b/>
          <w:color w:val="2E75B6"/>
          <w:sz w:val="26"/>
        </w:rPr>
        <w:t>Staffing &amp; Recruitment Agencies</w:t>
      </w:r>
    </w:p>
    <w:p>
      <w:pPr>
        <w:spacing w:before="0" w:after="120"/>
        <w:jc w:val="left"/>
      </w:pPr>
      <w:r>
        <w:rPr>
          <w:b w:val="0"/>
          <w:i w:val="0"/>
          <w:color w:val="44546E"/>
          <w:sz w:val="22"/>
        </w:rPr>
        <w:t>License the platform to agencies to pre-screen and coach candidates before client interviews. Reduces time-to-placement and improves candidate quality metrics.</w:t>
      </w:r>
    </w:p>
    <w:p>
      <w:pPr>
        <w:spacing w:before="200" w:after="80"/>
      </w:pPr>
      <w:r>
        <w:rPr>
          <w:b/>
          <w:color w:val="2E75B6"/>
          <w:sz w:val="26"/>
        </w:rPr>
        <w:t>Corporate Learning &amp; Development (L&amp;D)</w:t>
      </w:r>
    </w:p>
    <w:p>
      <w:pPr>
        <w:spacing w:before="0" w:after="120"/>
        <w:jc w:val="left"/>
      </w:pPr>
      <w:r>
        <w:rPr>
          <w:b w:val="0"/>
          <w:i w:val="0"/>
          <w:color w:val="44546E"/>
          <w:sz w:val="22"/>
        </w:rPr>
        <w:t>White-label the platform for enterprise HR teams to upskill internal employees preparing for internal mobility, promotion interviews, or client-facing roles.</w:t>
      </w:r>
    </w:p>
    <w:p>
      <w:pPr>
        <w:spacing w:before="200" w:after="80"/>
      </w:pPr>
      <w:r>
        <w:rPr>
          <w:b/>
          <w:color w:val="2E75B6"/>
          <w:sz w:val="26"/>
        </w:rPr>
        <w:t>Universities &amp; Colleges</w:t>
      </w:r>
    </w:p>
    <w:p>
      <w:pPr>
        <w:spacing w:before="0" w:after="120"/>
        <w:jc w:val="left"/>
      </w:pPr>
      <w:r>
        <w:rPr>
          <w:b w:val="0"/>
          <w:i w:val="0"/>
          <w:color w:val="44546E"/>
          <w:sz w:val="22"/>
        </w:rPr>
        <w:t>Partner with career services departments to offer students AI-powered interview preparation as part of placement support programmes.</w:t>
      </w:r>
    </w:p>
    <w:p>
      <w:pPr>
        <w:spacing w:before="200" w:after="80"/>
      </w:pPr>
      <w:r>
        <w:rPr>
          <w:b/>
          <w:color w:val="2E75B6"/>
          <w:sz w:val="26"/>
        </w:rPr>
        <w:t>Direct-to-Consumer Subscription</w:t>
      </w:r>
    </w:p>
    <w:p>
      <w:pPr>
        <w:spacing w:before="0" w:after="120"/>
        <w:jc w:val="left"/>
      </w:pPr>
      <w:r>
        <w:rPr>
          <w:b w:val="0"/>
          <w:i w:val="0"/>
          <w:color w:val="44546E"/>
          <w:sz w:val="22"/>
        </w:rPr>
        <w:t>Offer tiered plans (e.g., Free, Pro, Premium) directly to job seekers. The free tier builds user base; paid tiers unlock unlimited sessions, advanced analytics, and personalised coaching reports.</w:t>
      </w:r>
    </w:p>
    <w:p>
      <w:pPr>
        <w:spacing w:before="200" w:after="80"/>
      </w:pPr>
      <w:r>
        <w:rPr>
          <w:b/>
          <w:color w:val="2E75B6"/>
          <w:sz w:val="26"/>
        </w:rPr>
        <w:t>EdTech &amp; Online Learning Platforms</w:t>
      </w:r>
    </w:p>
    <w:p>
      <w:pPr>
        <w:spacing w:before="0" w:after="120"/>
        <w:jc w:val="left"/>
      </w:pPr>
      <w:r>
        <w:rPr>
          <w:b w:val="0"/>
          <w:i w:val="0"/>
          <w:color w:val="44546E"/>
          <w:sz w:val="22"/>
        </w:rPr>
        <w:t>Integrate as a value-added module within existing online course or bootcamp platforms to differentiate their career outcomes offering.</w:t>
      </w:r>
    </w:p>
    <w:p>
      <w:pPr>
        <w:spacing w:before="280" w:after="120"/>
        <w:pBdr>
          <w:bottom w:val="single" w:sz="12" w:space="1" w:color="2E75B6"/>
        </w:pBdr>
      </w:pPr>
      <w:r>
        <w:rPr>
          <w:b/>
          <w:color w:val="1E3A5F"/>
          <w:sz w:val="32"/>
        </w:rPr>
        <w:t>8.  WHAT STAKEHOLDERS CAN MEASURE</w:t>
      </w:r>
    </w:p>
    <w:p>
      <w:pPr>
        <w:spacing w:before="0" w:after="160"/>
        <w:jc w:val="left"/>
      </w:pPr>
      <w:r>
        <w:rPr>
          <w:b w:val="0"/>
          <w:i w:val="0"/>
          <w:color w:val="44546E"/>
          <w:sz w:val="22"/>
        </w:rPr>
        <w:t>One of the most compelling features for enterprise and institutional clients is the platform's built-in analytics layer. Every completed interview session generates a structured report containing the following scored dimensions:</w:t>
      </w:r>
    </w:p>
    <w:tbl>
      <w:tblPr>
        <w:tblStyle w:val="TableGrid"/>
        <w:tblW w:type="auto" w:w="0"/>
        <w:tblLook w:firstColumn="1" w:firstRow="1" w:lastColumn="0" w:lastRow="0" w:noHBand="0" w:noVBand="1" w:val="04A0"/>
      </w:tblPr>
      <w:tblGrid>
        <w:gridCol w:w="4680"/>
        <w:gridCol w:w="4680"/>
      </w:tblGrid>
      <w:tr>
        <w:tc>
          <w:tcPr>
            <w:tcW w:type="dxa" w:w="4680"/>
            <w:tcW w:w="3640" w:type="dxa"/>
            <w:shd w:val="clear" w:color="auto" w:fill="2E75B6"/>
          </w:tcPr>
          <w:p>
            <w:pPr>
              <w:jc w:val="left"/>
            </w:pPr>
            <w:r>
              <w:rPr>
                <w:b/>
                <w:color w:val="FFFFFF"/>
                <w:sz w:val="22"/>
              </w:rPr>
              <w:t>Metric</w:t>
            </w:r>
          </w:p>
        </w:tc>
        <w:tc>
          <w:tcPr>
            <w:tcW w:type="dxa" w:w="4680"/>
            <w:tcW w:w="5720" w:type="dxa"/>
            <w:shd w:val="clear" w:color="auto" w:fill="2E75B6"/>
          </w:tcPr>
          <w:p>
            <w:pPr>
              <w:jc w:val="left"/>
            </w:pPr>
            <w:r>
              <w:rPr>
                <w:b/>
                <w:color w:val="FFFFFF"/>
                <w:sz w:val="22"/>
              </w:rPr>
              <w:t>What It Measures</w:t>
            </w:r>
          </w:p>
        </w:tc>
      </w:tr>
      <w:tr>
        <w:tc>
          <w:tcPr>
            <w:tcW w:type="dxa" w:w="4680"/>
            <w:shd w:val="clear" w:color="auto" w:fill="F0F4F8"/>
          </w:tcPr>
          <w:p>
            <w:r>
              <w:rPr>
                <w:b/>
                <w:color w:val="1E3A5F"/>
                <w:sz w:val="21"/>
              </w:rPr>
              <w:t>Communication Skills</w:t>
            </w:r>
          </w:p>
        </w:tc>
        <w:tc>
          <w:tcPr>
            <w:tcW w:type="dxa" w:w="4680"/>
            <w:shd w:val="clear" w:color="auto" w:fill="F0F4F8"/>
          </w:tcPr>
          <w:p>
            <w:r>
              <w:rPr>
                <w:color w:val="44546E"/>
                <w:sz w:val="21"/>
              </w:rPr>
              <w:t>Clarity, coherence, and vocabulary quality of responses.</w:t>
            </w:r>
          </w:p>
        </w:tc>
      </w:tr>
      <w:tr>
        <w:tc>
          <w:tcPr>
            <w:tcW w:type="dxa" w:w="4680"/>
            <w:shd w:val="clear" w:color="auto" w:fill="FFFFFF"/>
          </w:tcPr>
          <w:p>
            <w:r>
              <w:rPr>
                <w:b/>
                <w:color w:val="1E3A5F"/>
                <w:sz w:val="21"/>
              </w:rPr>
              <w:t>Technical Accuracy</w:t>
            </w:r>
          </w:p>
        </w:tc>
        <w:tc>
          <w:tcPr>
            <w:tcW w:type="dxa" w:w="4680"/>
            <w:shd w:val="clear" w:color="auto" w:fill="FFFFFF"/>
          </w:tcPr>
          <w:p>
            <w:r>
              <w:rPr>
                <w:color w:val="44546E"/>
                <w:sz w:val="21"/>
              </w:rPr>
              <w:t>Correctness of technical answers for engineering / data roles.</w:t>
            </w:r>
          </w:p>
        </w:tc>
      </w:tr>
      <w:tr>
        <w:tc>
          <w:tcPr>
            <w:tcW w:type="dxa" w:w="4680"/>
            <w:shd w:val="clear" w:color="auto" w:fill="F0F4F8"/>
          </w:tcPr>
          <w:p>
            <w:r>
              <w:rPr>
                <w:b/>
                <w:color w:val="1E3A5F"/>
                <w:sz w:val="21"/>
              </w:rPr>
              <w:t>Confidence Score</w:t>
            </w:r>
          </w:p>
        </w:tc>
        <w:tc>
          <w:tcPr>
            <w:tcW w:type="dxa" w:w="4680"/>
            <w:shd w:val="clear" w:color="auto" w:fill="F0F4F8"/>
          </w:tcPr>
          <w:p>
            <w:r>
              <w:rPr>
                <w:color w:val="44546E"/>
                <w:sz w:val="21"/>
              </w:rPr>
              <w:t>Derived from response latency, sentence completion rate, and filler word usage.</w:t>
            </w:r>
          </w:p>
        </w:tc>
      </w:tr>
      <w:tr>
        <w:tc>
          <w:tcPr>
            <w:tcW w:type="dxa" w:w="4680"/>
            <w:shd w:val="clear" w:color="auto" w:fill="FFFFFF"/>
          </w:tcPr>
          <w:p>
            <w:r>
              <w:rPr>
                <w:b/>
                <w:color w:val="1E3A5F"/>
                <w:sz w:val="21"/>
              </w:rPr>
              <w:t>Body Language Score</w:t>
            </w:r>
          </w:p>
        </w:tc>
        <w:tc>
          <w:tcPr>
            <w:tcW w:type="dxa" w:w="4680"/>
            <w:shd w:val="clear" w:color="auto" w:fill="FFFFFF"/>
          </w:tcPr>
          <w:p>
            <w:r>
              <w:rPr>
                <w:color w:val="44546E"/>
                <w:sz w:val="21"/>
              </w:rPr>
              <w:t>Eye contact percentage and facial engagement index (Video mode only).</w:t>
            </w:r>
          </w:p>
        </w:tc>
      </w:tr>
      <w:tr>
        <w:tc>
          <w:tcPr>
            <w:tcW w:type="dxa" w:w="4680"/>
            <w:shd w:val="clear" w:color="auto" w:fill="F0F4F8"/>
          </w:tcPr>
          <w:p>
            <w:r>
              <w:rPr>
                <w:b/>
                <w:color w:val="1E3A5F"/>
                <w:sz w:val="21"/>
              </w:rPr>
              <w:t>Overall Band</w:t>
            </w:r>
          </w:p>
        </w:tc>
        <w:tc>
          <w:tcPr>
            <w:tcW w:type="dxa" w:w="4680"/>
            <w:shd w:val="clear" w:color="auto" w:fill="F0F4F8"/>
          </w:tcPr>
          <w:p>
            <w:r>
              <w:rPr>
                <w:color w:val="44546E"/>
                <w:sz w:val="21"/>
              </w:rPr>
              <w:t>A composite score (e.g., Excellent / Good / Needs Improvement) with specific action items.</w:t>
            </w:r>
          </w:p>
        </w:tc>
      </w:tr>
    </w:tbl>
    <w:p>
      <w:pPr>
        <w:spacing w:after="160"/>
      </w:pPr>
    </w:p>
    <w:p>
      <w:pPr>
        <w:spacing w:before="280" w:after="120"/>
        <w:pBdr>
          <w:bottom w:val="single" w:sz="12" w:space="1" w:color="2E75B6"/>
        </w:pBdr>
      </w:pPr>
      <w:r>
        <w:rPr>
          <w:b/>
          <w:color w:val="1E3A5F"/>
          <w:sz w:val="32"/>
        </w:rPr>
        <w:t>9.  CURRENT STATUS &amp; READINESS</w:t>
      </w:r>
    </w:p>
    <w:p>
      <w:pPr>
        <w:spacing w:before="0" w:after="120"/>
        <w:jc w:val="left"/>
      </w:pPr>
      <w:r>
        <w:rPr>
          <w:b w:val="0"/>
          <w:i w:val="0"/>
          <w:color w:val="44546E"/>
          <w:sz w:val="22"/>
        </w:rPr>
        <w:t>The platform is not a concept or prototype — it is a fully functional product:</w:t>
      </w:r>
    </w:p>
    <w:p>
      <w:pPr>
        <w:spacing w:after="60"/>
      </w:pPr>
      <w:r>
        <w:rPr>
          <w:b/>
          <w:color w:val="107C10"/>
          <w:sz w:val="22"/>
        </w:rPr>
        <w:t xml:space="preserve">✔  </w:t>
      </w:r>
      <w:r>
        <w:rPr>
          <w:color w:val="44546E"/>
          <w:sz w:val="22"/>
        </w:rPr>
        <w:t>Fully developed and tested across all three interview modes (Text, Voice, Video).</w:t>
      </w:r>
    </w:p>
    <w:p>
      <w:pPr>
        <w:spacing w:after="60"/>
      </w:pPr>
      <w:r>
        <w:rPr>
          <w:b/>
          <w:color w:val="107C10"/>
          <w:sz w:val="22"/>
        </w:rPr>
        <w:t xml:space="preserve">✔  </w:t>
      </w:r>
      <w:r>
        <w:rPr>
          <w:color w:val="44546E"/>
          <w:sz w:val="22"/>
        </w:rPr>
        <w:t>AI integration live and operational using Google Gemini via LiteRouter.</w:t>
      </w:r>
    </w:p>
    <w:p>
      <w:pPr>
        <w:spacing w:after="60"/>
      </w:pPr>
      <w:r>
        <w:rPr>
          <w:b/>
          <w:color w:val="107C10"/>
          <w:sz w:val="22"/>
        </w:rPr>
        <w:t xml:space="preserve">✔  </w:t>
      </w:r>
      <w:r>
        <w:rPr>
          <w:color w:val="44546E"/>
          <w:sz w:val="22"/>
        </w:rPr>
        <w:t>Deployed and accessible via Vercel cloud infrastructure.</w:t>
      </w:r>
    </w:p>
    <w:p>
      <w:pPr>
        <w:spacing w:after="60"/>
      </w:pPr>
      <w:r>
        <w:rPr>
          <w:b/>
          <w:color w:val="107C10"/>
          <w:sz w:val="22"/>
        </w:rPr>
        <w:t xml:space="preserve">✔  </w:t>
      </w:r>
      <w:r>
        <w:rPr>
          <w:color w:val="44546E"/>
          <w:sz w:val="22"/>
        </w:rPr>
        <w:t>Interview history logging and post-interview reporting fully functional.</w:t>
      </w:r>
    </w:p>
    <w:p>
      <w:pPr>
        <w:spacing w:after="60"/>
      </w:pPr>
      <w:r>
        <w:rPr>
          <w:b/>
          <w:color w:val="107C10"/>
          <w:sz w:val="22"/>
        </w:rPr>
        <w:t xml:space="preserve">✔  </w:t>
      </w:r>
      <w:r>
        <w:rPr>
          <w:color w:val="44546E"/>
          <w:sz w:val="22"/>
        </w:rPr>
        <w:t>Responsive design — works on desktop and mobile browsers.</w:t>
      </w:r>
    </w:p>
    <w:p>
      <w:pPr>
        <w:spacing w:after="60"/>
      </w:pPr>
      <w:r>
        <w:rPr>
          <w:b/>
          <w:color w:val="107C10"/>
          <w:sz w:val="22"/>
        </w:rPr>
        <w:t xml:space="preserve">✔  </w:t>
      </w:r>
      <w:r>
        <w:rPr>
          <w:color w:val="44546E"/>
          <w:sz w:val="22"/>
        </w:rPr>
        <w:t>Codebase is clean, modular, and ready for enterprise customisation or white-labelling.</w:t>
      </w:r>
    </w:p>
    <w:p>
      <w:pPr>
        <w:spacing w:after="160"/>
      </w:pPr>
    </w:p>
    <w:p>
      <w:pPr>
        <w:spacing w:before="280" w:after="120"/>
        <w:pBdr>
          <w:bottom w:val="single" w:sz="12" w:space="1" w:color="2E75B6"/>
        </w:pBdr>
      </w:pPr>
      <w:r>
        <w:rPr>
          <w:b/>
          <w:color w:val="1E3A5F"/>
          <w:sz w:val="32"/>
        </w:rPr>
        <w:t>10.  RECOMMENDED NEXT STEPS</w:t>
      </w:r>
    </w:p>
    <w:p>
      <w:pPr>
        <w:spacing w:after="100"/>
      </w:pPr>
      <w:r>
        <w:rPr>
          <w:b/>
          <w:color w:val="2E75B6"/>
          <w:sz w:val="22"/>
        </w:rPr>
        <w:t xml:space="preserve">1.  </w:t>
      </w:r>
      <w:r>
        <w:rPr>
          <w:b/>
          <w:color w:val="1E3A5F"/>
          <w:sz w:val="22"/>
        </w:rPr>
        <w:t xml:space="preserve">Live Demo: </w:t>
      </w:r>
      <w:r>
        <w:rPr>
          <w:color w:val="44546E"/>
          <w:sz w:val="22"/>
        </w:rPr>
        <w:t>Schedule a 30-minute live walkthrough with the development team to experience all three interview modes first-hand.</w:t>
      </w:r>
    </w:p>
    <w:p>
      <w:pPr>
        <w:spacing w:after="100"/>
      </w:pPr>
      <w:r>
        <w:rPr>
          <w:b/>
          <w:color w:val="2E75B6"/>
          <w:sz w:val="22"/>
        </w:rPr>
        <w:t xml:space="preserve">2.  </w:t>
      </w:r>
      <w:r>
        <w:rPr>
          <w:b/>
          <w:color w:val="1E3A5F"/>
          <w:sz w:val="22"/>
        </w:rPr>
        <w:t xml:space="preserve">Pilot Programme: </w:t>
      </w:r>
      <w:r>
        <w:rPr>
          <w:color w:val="44546E"/>
          <w:sz w:val="22"/>
        </w:rPr>
        <w:t>Identify a partner organisation (e.g., a staffing agency or university career centre) to run a 60-day pilot and collect user data.</w:t>
      </w:r>
    </w:p>
    <w:p>
      <w:pPr>
        <w:spacing w:after="100"/>
      </w:pPr>
      <w:r>
        <w:rPr>
          <w:b/>
          <w:color w:val="2E75B6"/>
          <w:sz w:val="22"/>
        </w:rPr>
        <w:t xml:space="preserve">3.  </w:t>
      </w:r>
      <w:r>
        <w:rPr>
          <w:b/>
          <w:color w:val="1E3A5F"/>
          <w:sz w:val="22"/>
        </w:rPr>
        <w:t xml:space="preserve">Commercial Scoping: </w:t>
      </w:r>
      <w:r>
        <w:rPr>
          <w:color w:val="44546E"/>
          <w:sz w:val="22"/>
        </w:rPr>
        <w:t>Define licensing model: SaaS subscription, per-seat pricing, or white-label arrangement depending on the target segment.</w:t>
      </w:r>
    </w:p>
    <w:p>
      <w:pPr>
        <w:spacing w:after="100"/>
      </w:pPr>
      <w:r>
        <w:rPr>
          <w:b/>
          <w:color w:val="2E75B6"/>
          <w:sz w:val="22"/>
        </w:rPr>
        <w:t xml:space="preserve">4.  </w:t>
      </w:r>
      <w:r>
        <w:rPr>
          <w:b/>
          <w:color w:val="1E3A5F"/>
          <w:sz w:val="22"/>
        </w:rPr>
        <w:t xml:space="preserve">Integration Discussion: </w:t>
      </w:r>
      <w:r>
        <w:rPr>
          <w:color w:val="44546E"/>
          <w:sz w:val="22"/>
        </w:rPr>
        <w:t>For enterprise clients — assess API integration points with existing HRMS or ATS platforms (e.g., Workday, Greenhouse).</w:t>
      </w:r>
    </w:p>
    <w:p>
      <w:pPr>
        <w:spacing w:after="100"/>
      </w:pPr>
      <w:r>
        <w:rPr>
          <w:b/>
          <w:color w:val="2E75B6"/>
          <w:sz w:val="22"/>
        </w:rPr>
        <w:t xml:space="preserve">5.  </w:t>
      </w:r>
      <w:r>
        <w:rPr>
          <w:b/>
          <w:color w:val="1E3A5F"/>
          <w:sz w:val="22"/>
        </w:rPr>
        <w:t xml:space="preserve">Roadmap Review: </w:t>
      </w:r>
      <w:r>
        <w:rPr>
          <w:color w:val="44546E"/>
          <w:sz w:val="22"/>
        </w:rPr>
        <w:t>Discuss planned feature enhancements: multi-language support, sector-specific question banks, and recruiter dashboard.</w:t>
      </w:r>
    </w:p>
    <w:p>
      <w:pPr>
        <w:spacing w:after="240"/>
      </w:pPr>
    </w:p>
    <w:p>
      <w:pPr>
        <w:spacing w:before="320"/>
        <w:jc w:val="center"/>
        <w:pBdr>
          <w:bottom w:val="single" w:sz="6" w:space="1" w:color="2E75B6"/>
        </w:pBdr>
      </w:pPr>
      <w:r>
        <w:rPr>
          <w:i/>
          <w:color w:val="606060"/>
          <w:sz w:val="18"/>
        </w:rPr>
        <w:t>This document is prepared for internal use by the Business Development team. All technical specifications are subject to change. For questions, contact the product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